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9" o:title=""/>
          </v:shape>
          <o:OLEObject Type="Embed" ProgID="Word.Picture.8" ShapeID="_x0000_i1025" DrawAspect="Content" ObjectID="_1701611107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B1D73" w:rsidRPr="003B1D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29.11.2021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B1D73" w:rsidRPr="003B1D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0413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обеспечением сохранности автомобильных дорог местного значения общего пользования </w:t>
      </w:r>
      <w:r w:rsidR="00C47882">
        <w:rPr>
          <w:rFonts w:ascii="Times New Roman" w:hAnsi="Times New Roman"/>
          <w:sz w:val="28"/>
          <w:szCs w:val="28"/>
        </w:rPr>
        <w:t>в</w:t>
      </w:r>
      <w:r w:rsidR="00A24B52" w:rsidRPr="00A24B52">
        <w:rPr>
          <w:rFonts w:ascii="Times New Roman" w:hAnsi="Times New Roman"/>
          <w:sz w:val="28"/>
          <w:szCs w:val="28"/>
        </w:rPr>
        <w:t xml:space="preserve"> 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A24B52" w:rsidRPr="00A24B52">
        <w:rPr>
          <w:rFonts w:ascii="Times New Roman" w:hAnsi="Times New Roman"/>
          <w:sz w:val="28"/>
          <w:szCs w:val="28"/>
        </w:rPr>
        <w:t>Смоленской области</w:t>
      </w:r>
      <w:r w:rsidR="00A24B52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2022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  <w:r w:rsidR="00C47882">
        <w:rPr>
          <w:rFonts w:ascii="Times New Roman" w:eastAsiaTheme="minorHAnsi" w:hAnsi="Times New Roman"/>
          <w:color w:val="000000"/>
          <w:sz w:val="28"/>
          <w:szCs w:val="28"/>
        </w:rPr>
        <w:t xml:space="preserve">, Уставом </w:t>
      </w:r>
      <w:r w:rsidR="00C47882">
        <w:rPr>
          <w:rFonts w:ascii="Times New Roman" w:hAnsi="Times New Roman"/>
          <w:sz w:val="28"/>
          <w:szCs w:val="28"/>
        </w:rPr>
        <w:t xml:space="preserve">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</w:p>
    <w:p w:rsidR="00C47882" w:rsidRPr="00F65458" w:rsidRDefault="00C4788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F65458" w:rsidRPr="00F65458" w:rsidRDefault="00F65458" w:rsidP="00FB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A24B52" w:rsidRPr="00A24B52">
        <w:rPr>
          <w:bCs/>
          <w:sz w:val="28"/>
          <w:szCs w:val="28"/>
        </w:rPr>
        <w:t xml:space="preserve">муниципального контроля за обеспечением сохранности автомобильных дорог местного значения общего пользования </w:t>
      </w:r>
      <w:r w:rsidR="00C47882">
        <w:rPr>
          <w:bCs/>
          <w:sz w:val="28"/>
          <w:szCs w:val="28"/>
        </w:rPr>
        <w:t xml:space="preserve">в </w:t>
      </w:r>
      <w:r w:rsidR="00C47882" w:rsidRPr="00A24B52">
        <w:rPr>
          <w:sz w:val="28"/>
          <w:szCs w:val="28"/>
        </w:rPr>
        <w:t>границ</w:t>
      </w:r>
      <w:r w:rsidR="00C47882">
        <w:rPr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sz w:val="28"/>
          <w:szCs w:val="28"/>
        </w:rPr>
        <w:t>Смоленской области</w:t>
      </w:r>
      <w:r w:rsidR="00A24B52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2022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F65458" w:rsidRPr="00F65458" w:rsidRDefault="00F65458" w:rsidP="00FB54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962100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3B1D7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1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3B1D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29.11.2021</w:t>
            </w:r>
            <w:r w:rsidRPr="00A91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3B1D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0413</w:t>
            </w:r>
            <w:bookmarkStart w:id="0" w:name="_GoBack"/>
            <w:bookmarkEnd w:id="0"/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за обеспечением сохранности автомобильных дорог местного значения общего пользования вне границ населенных пунктов </w:t>
      </w:r>
      <w:r w:rsidR="00A24B52" w:rsidRPr="00C47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C47882" w:rsidRPr="00C47882">
        <w:rPr>
          <w:rFonts w:ascii="Times New Roman" w:hAnsi="Times New Roman"/>
          <w:b/>
          <w:sz w:val="28"/>
          <w:szCs w:val="28"/>
        </w:rPr>
        <w:t>границах Монастырщинского городского поселения Монастырщинского района Смоленской области</w:t>
      </w:r>
      <w:r w:rsidR="00C47882"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контроля за обеспечением сохранности автомобильных дорог местного значения общего пользования в</w:t>
      </w:r>
      <w:r w:rsidR="00C478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47882" w:rsidRPr="00A24B52">
        <w:rPr>
          <w:rFonts w:ascii="Times New Roman" w:hAnsi="Times New Roman"/>
          <w:sz w:val="28"/>
          <w:szCs w:val="28"/>
        </w:rPr>
        <w:t>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  <w:r w:rsidR="00C47882"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2022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Программа профилактики).</w:t>
      </w:r>
    </w:p>
    <w:p w:rsidR="00AE0D38" w:rsidRPr="00AE0D38" w:rsidRDefault="00AE0D38" w:rsidP="00BF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9E6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лее – Федеральный закон № 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170-ФЗ) к предмету </w:t>
      </w:r>
      <w:bookmarkStart w:id="1" w:name="_Hlk82421895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</w:t>
      </w:r>
      <w:bookmarkStart w:id="2" w:name="_Hlk82421929"/>
      <w:bookmarkEnd w:id="1"/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 обеспечением сохранности автомобильных дорог местного значения общего пользования в </w:t>
      </w:r>
      <w:r w:rsidR="00C47882" w:rsidRPr="00A24B52">
        <w:rPr>
          <w:rFonts w:ascii="Times New Roman" w:hAnsi="Times New Roman"/>
          <w:sz w:val="28"/>
          <w:szCs w:val="28"/>
        </w:rPr>
        <w:t>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2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</w:t>
      </w:r>
      <w:r w:rsidR="00C4788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C47882" w:rsidRPr="00A24B52">
        <w:rPr>
          <w:rFonts w:ascii="Times New Roman" w:hAnsi="Times New Roman"/>
          <w:sz w:val="28"/>
          <w:szCs w:val="28"/>
        </w:rPr>
        <w:t>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 1 июля 2021 года </w:t>
      </w:r>
      <w:r w:rsidR="00B44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7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 образовании «Монастыриски район»</w:t>
      </w:r>
      <w:r w:rsidR="00BF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7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моленской области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контроль 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 обеспечением сохранности автомобильных дорог местного значения общего пользования в</w:t>
      </w:r>
      <w:r w:rsidR="00B442A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B442AF" w:rsidRPr="00A24B52">
        <w:rPr>
          <w:rFonts w:ascii="Times New Roman" w:hAnsi="Times New Roman"/>
          <w:sz w:val="28"/>
          <w:szCs w:val="28"/>
        </w:rPr>
        <w:t>границ</w:t>
      </w:r>
      <w:r w:rsidR="00B442AF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B442AF" w:rsidRPr="00A24B5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3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</w:t>
      </w:r>
      <w:r w:rsidR="007641B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рального закона от 31.07.2020 № 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4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4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</w:t>
      </w:r>
      <w:r w:rsidRPr="00645D7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придорожные полосы и полосы отвода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717CF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Администрация или контрольный</w:t>
      </w:r>
      <w:r w:rsidR="00CA1F8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4) регулярное обобщение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82427556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6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Default="00106CD4" w:rsidP="00106C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  <w:r w:rsidR="00BF0691">
        <w:rPr>
          <w:rFonts w:ascii="Times New Roman" w:hAnsi="Times New Roman"/>
          <w:bCs/>
          <w:iCs/>
          <w:sz w:val="28"/>
          <w:szCs w:val="28"/>
        </w:rPr>
        <w:t>.</w:t>
      </w:r>
    </w:p>
    <w:p w:rsidR="00962D8C" w:rsidRDefault="00962D8C" w:rsidP="00106C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17CF6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контроля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="00B47EC8" w:rsidRPr="00B47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BF0691" w:rsidRPr="00717CF6" w:rsidRDefault="00BF0691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6CC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C31EB3" w:rsidRPr="00C31EB3" w:rsidTr="00244FA3"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C31EB3" w:rsidRPr="00C31EB3" w:rsidTr="00244FA3"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C31EB3" w:rsidRPr="00C31EB3" w:rsidTr="00244FA3">
        <w:trPr>
          <w:trHeight w:val="1194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7F09E7" w:rsidP="00B4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="00B47EC8" w:rsidRPr="00C31EB3">
              <w:rPr>
                <w:rFonts w:ascii="Times New Roman" w:eastAsia="Times New Roman" w:hAnsi="Times New Roman"/>
                <w:sz w:val="24"/>
                <w:szCs w:val="24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B47EC8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за сохранностью автомобильных дорог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 1 июня 2023 года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 1 июля 2023 года</w:t>
            </w:r>
          </w:p>
        </w:tc>
      </w:tr>
      <w:tr w:rsidR="00C31EB3" w:rsidRPr="00C31EB3" w:rsidTr="00244FA3"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 наличия у А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или признаках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нарушений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C31E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не по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зднее 30 дней со дня получения 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дминистрацией указанных сведений</w:t>
            </w:r>
          </w:p>
        </w:tc>
      </w:tr>
      <w:tr w:rsidR="00C31EB3" w:rsidRPr="00C31EB3" w:rsidTr="00244FA3"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контроля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организация и осуществление муниципального контроля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Положением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«Об осуществлении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муниципального контроля за обеспечением сохранности автомобильных дорог местного значения общего пользования </w:t>
            </w:r>
            <w:r w:rsidR="00B442AF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</w:t>
            </w:r>
            <w:r w:rsidR="00B442AF" w:rsidRPr="00C31EB3">
              <w:rPr>
                <w:rFonts w:ascii="Times New Roman" w:hAnsi="Times New Roman"/>
                <w:sz w:val="24"/>
                <w:szCs w:val="24"/>
              </w:rPr>
              <w:t>границах Монастырщинского городского поселения Монастырщинского района Смоленской области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»;</w:t>
            </w:r>
          </w:p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B47EC8" w:rsidRPr="00C31EB3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C31EB3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D761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«Монастырщинский район» Смоленской области или должностным лицом, уполномоченным осуществлять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</w:tr>
      <w:tr w:rsidR="00C31EB3" w:rsidRPr="00C31EB3" w:rsidTr="00244FA3"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C31EB3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C31EB3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контролируемых лиц по вопросам муниципального контроля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за сохранностью автомобильных дорог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C31EB3" w:rsidRPr="00C31EB3" w:rsidTr="00244FA3"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необходимости, но не менее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1620F8" w:rsidRDefault="001620F8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0938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по городскому хозяйству 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«Монастырщинский район» Смоленской области. Специалистом, ответственным за реализацию профилактических мероприятий, является </w:t>
      </w:r>
      <w:r w:rsid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менеджер 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C31EB3">
        <w:rPr>
          <w:rFonts w:ascii="Times New Roman" w:eastAsia="Times New Roman" w:hAnsi="Times New Roman"/>
          <w:sz w:val="28"/>
          <w:szCs w:val="28"/>
          <w:lang w:eastAsia="ru-RU"/>
        </w:rPr>
        <w:t>по городскому хозяйству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0F8" w:rsidRPr="00C31EB3" w:rsidRDefault="001620F8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Pr="00C31EB3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C31EB3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офилактики</w:t>
      </w:r>
      <w:r w:rsidR="005F03F7" w:rsidRPr="00C31E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2CF2" w:rsidRPr="00C31EB3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3260"/>
      </w:tblGrid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</w:t>
            </w:r>
            <w:r w:rsidR="00200938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видетельствующая о максимальной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результативности программы профилактики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или признаков нарушений обязательных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требований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</w:t>
      </w:r>
      <w:r w:rsidR="003F20D0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ушений обязательных требований </w:t>
      </w:r>
      <w:r w:rsidRPr="00C31E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 w:rsidRPr="00C31EB3">
        <w:rPr>
          <w:rFonts w:ascii="Times New Roman" w:eastAsia="Times New Roman" w:hAnsi="Times New Roman"/>
          <w:sz w:val="28"/>
          <w:szCs w:val="28"/>
          <w:lang w:eastAsia="ru-RU"/>
        </w:rPr>
        <w:t>онтролируемыми лицами процедур,</w:t>
      </w:r>
      <w:r w:rsidR="00645D72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3F7" w:rsidRPr="00C31E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52672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E0D38" w:rsidRPr="00526726" w:rsidSect="007F6F2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22" w:rsidRDefault="00F73022" w:rsidP="008D1423">
      <w:pPr>
        <w:spacing w:after="0" w:line="240" w:lineRule="auto"/>
      </w:pPr>
      <w:r>
        <w:separator/>
      </w:r>
    </w:p>
  </w:endnote>
  <w:endnote w:type="continuationSeparator" w:id="0">
    <w:p w:rsidR="00F73022" w:rsidRDefault="00F73022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22" w:rsidRDefault="00F73022" w:rsidP="008D1423">
      <w:pPr>
        <w:spacing w:after="0" w:line="240" w:lineRule="auto"/>
      </w:pPr>
      <w:r>
        <w:separator/>
      </w:r>
    </w:p>
  </w:footnote>
  <w:footnote w:type="continuationSeparator" w:id="0">
    <w:p w:rsidR="00F73022" w:rsidRDefault="00F73022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7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98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5F7D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6E43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6F1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68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0F8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0938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459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4FA3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D73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6BC6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C7EC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41BE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4C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2DF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D8C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157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6CEE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596D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2A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069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1EB3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882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458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02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BC1C-4A68-44E0-A0CA-C14C1A8A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2</cp:revision>
  <cp:lastPrinted>2017-09-11T07:47:00Z</cp:lastPrinted>
  <dcterms:created xsi:type="dcterms:W3CDTF">2021-12-21T13:59:00Z</dcterms:created>
  <dcterms:modified xsi:type="dcterms:W3CDTF">2021-12-21T13:59:00Z</dcterms:modified>
</cp:coreProperties>
</file>