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88"/>
        <w:gridCol w:w="3327"/>
        <w:gridCol w:w="3290"/>
      </w:tblGrid>
      <w:tr w:rsidR="00FD4949" w:rsidRPr="00E82652" w:rsidTr="00972FA9">
        <w:trPr>
          <w:trHeight w:val="709"/>
        </w:trPr>
        <w:tc>
          <w:tcPr>
            <w:tcW w:w="3379" w:type="dxa"/>
          </w:tcPr>
          <w:p w:rsidR="00FD4949" w:rsidRPr="00E82652" w:rsidRDefault="00FD4949" w:rsidP="00BF6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379" w:type="dxa"/>
          </w:tcPr>
          <w:p w:rsidR="00FD4949" w:rsidRPr="00E06CF7" w:rsidRDefault="00CE090C" w:rsidP="007B3D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CC1A5C5" wp14:editId="4C0128EB">
                  <wp:extent cx="845185" cy="9315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93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FD4949" w:rsidRPr="00FD4949" w:rsidRDefault="00FD4949" w:rsidP="00BF69EB">
            <w:pPr>
              <w:spacing w:after="0" w:line="240" w:lineRule="auto"/>
              <w:ind w:left="-567"/>
              <w:jc w:val="center"/>
              <w:rPr>
                <w:lang w:val="en-US"/>
              </w:rPr>
            </w:pPr>
          </w:p>
          <w:p w:rsidR="00FF5DE3" w:rsidRDefault="00FF5DE3" w:rsidP="00FF5DE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F5DE3" w:rsidRDefault="00FF5DE3" w:rsidP="00FF5DE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4949" w:rsidRPr="00FF5DE3" w:rsidRDefault="00FD4949" w:rsidP="00FF5DE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B3D6B" w:rsidRDefault="007B3D6B" w:rsidP="00BA5C69">
      <w:pPr>
        <w:spacing w:after="0" w:line="240" w:lineRule="atLeast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4949" w:rsidRPr="007B3D6B" w:rsidRDefault="00FD4949" w:rsidP="001540FF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B3D6B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 w:rsidRPr="007B3D6B">
        <w:rPr>
          <w:rFonts w:ascii="Times New Roman" w:hAnsi="Times New Roman"/>
          <w:b/>
          <w:bCs/>
          <w:sz w:val="28"/>
          <w:szCs w:val="28"/>
        </w:rPr>
        <w:t>МОЛЕНСКАЯ ОБЛАСТЬ</w:t>
      </w:r>
    </w:p>
    <w:p w:rsidR="00FD4949" w:rsidRPr="007B3D6B" w:rsidRDefault="00FD4949" w:rsidP="001540FF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3D6B">
        <w:rPr>
          <w:rFonts w:ascii="Times New Roman" w:hAnsi="Times New Roman"/>
          <w:b/>
          <w:sz w:val="28"/>
          <w:szCs w:val="28"/>
        </w:rPr>
        <w:t xml:space="preserve">МОНАСТЫРЩИНСКИЙ </w:t>
      </w:r>
      <w:r w:rsidR="00B96300">
        <w:rPr>
          <w:rFonts w:ascii="Times New Roman" w:hAnsi="Times New Roman"/>
          <w:b/>
          <w:sz w:val="28"/>
          <w:szCs w:val="28"/>
        </w:rPr>
        <w:t>ОКРУЖНОЙ</w:t>
      </w:r>
      <w:r w:rsidRPr="007B3D6B">
        <w:rPr>
          <w:rFonts w:ascii="Times New Roman" w:hAnsi="Times New Roman"/>
          <w:b/>
          <w:sz w:val="28"/>
          <w:szCs w:val="28"/>
        </w:rPr>
        <w:t xml:space="preserve"> СОВЕТ </w:t>
      </w:r>
      <w:r w:rsidRPr="007B3D6B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</w:p>
    <w:p w:rsidR="00FD4949" w:rsidRPr="007B3D6B" w:rsidRDefault="00FD4949" w:rsidP="00154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06D" w:rsidRDefault="00F6306D" w:rsidP="00154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3D6B">
        <w:rPr>
          <w:rFonts w:ascii="Times New Roman" w:hAnsi="Times New Roman"/>
          <w:b/>
          <w:bCs/>
          <w:sz w:val="28"/>
          <w:szCs w:val="28"/>
        </w:rPr>
        <w:t>Р</w:t>
      </w:r>
      <w:r w:rsidR="001540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Е</w:t>
      </w:r>
      <w:r w:rsidR="001540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Ш</w:t>
      </w:r>
      <w:r w:rsidR="001540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Е</w:t>
      </w:r>
      <w:r w:rsidR="001540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Н</w:t>
      </w:r>
      <w:r w:rsidR="001540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И</w:t>
      </w:r>
      <w:r w:rsidR="001540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Е</w:t>
      </w:r>
    </w:p>
    <w:p w:rsidR="001540FF" w:rsidRPr="007B3D6B" w:rsidRDefault="001540FF" w:rsidP="001540FF">
      <w:pPr>
        <w:spacing w:after="0" w:line="240" w:lineRule="auto"/>
        <w:jc w:val="center"/>
        <w:rPr>
          <w:sz w:val="28"/>
          <w:szCs w:val="28"/>
        </w:rPr>
      </w:pPr>
    </w:p>
    <w:p w:rsidR="00F6306D" w:rsidRPr="00FD4949" w:rsidRDefault="00F6306D" w:rsidP="001540FF">
      <w:pPr>
        <w:spacing w:after="0" w:line="240" w:lineRule="auto"/>
        <w:rPr>
          <w:b/>
        </w:rPr>
      </w:pPr>
      <w:r w:rsidRPr="00FD4949">
        <w:rPr>
          <w:rFonts w:ascii="Times New Roman" w:hAnsi="Times New Roman"/>
          <w:b/>
          <w:sz w:val="28"/>
          <w:szCs w:val="28"/>
        </w:rPr>
        <w:t xml:space="preserve">от </w:t>
      </w:r>
      <w:r w:rsidR="005E490D">
        <w:rPr>
          <w:rFonts w:ascii="Times New Roman" w:hAnsi="Times New Roman"/>
          <w:b/>
          <w:sz w:val="28"/>
          <w:szCs w:val="28"/>
        </w:rPr>
        <w:t>26 ноября 2025 года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FD4949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1540FF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5E490D">
        <w:rPr>
          <w:rFonts w:ascii="Times New Roman" w:hAnsi="Times New Roman"/>
          <w:b/>
          <w:sz w:val="28"/>
          <w:szCs w:val="28"/>
        </w:rPr>
        <w:t xml:space="preserve">  </w:t>
      </w:r>
      <w:r w:rsidRPr="00FD4949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E490D">
        <w:rPr>
          <w:rFonts w:ascii="Times New Roman" w:hAnsi="Times New Roman"/>
          <w:b/>
          <w:sz w:val="28"/>
          <w:szCs w:val="28"/>
        </w:rPr>
        <w:t>134</w:t>
      </w:r>
    </w:p>
    <w:p w:rsidR="007C73BC" w:rsidRDefault="007C73BC" w:rsidP="001540FF">
      <w:pPr>
        <w:pStyle w:val="Style6"/>
        <w:widowControl/>
        <w:spacing w:line="240" w:lineRule="auto"/>
        <w:ind w:right="4960"/>
        <w:rPr>
          <w:rStyle w:val="FontStyle58"/>
          <w:sz w:val="28"/>
          <w:szCs w:val="28"/>
        </w:rPr>
      </w:pPr>
    </w:p>
    <w:p w:rsidR="00BA5C69" w:rsidRDefault="00E073F5" w:rsidP="001540FF">
      <w:pPr>
        <w:pStyle w:val="Style6"/>
        <w:widowControl/>
        <w:spacing w:line="240" w:lineRule="auto"/>
        <w:ind w:right="4960"/>
        <w:rPr>
          <w:rStyle w:val="FontStyle58"/>
          <w:sz w:val="28"/>
          <w:szCs w:val="28"/>
        </w:rPr>
      </w:pPr>
      <w:r w:rsidRPr="00E073F5">
        <w:rPr>
          <w:rStyle w:val="FontStyle58"/>
          <w:sz w:val="28"/>
          <w:szCs w:val="28"/>
        </w:rPr>
        <w:t xml:space="preserve">О </w:t>
      </w:r>
      <w:r w:rsidR="00092528">
        <w:rPr>
          <w:rStyle w:val="FontStyle58"/>
          <w:sz w:val="28"/>
          <w:szCs w:val="28"/>
        </w:rPr>
        <w:t>прогнозе социально-экономического развития муниципального о</w:t>
      </w:r>
      <w:r w:rsidRPr="00E073F5">
        <w:rPr>
          <w:rStyle w:val="FontStyle58"/>
          <w:sz w:val="28"/>
          <w:szCs w:val="28"/>
        </w:rPr>
        <w:t>бразовани</w:t>
      </w:r>
      <w:r w:rsidR="00092528">
        <w:rPr>
          <w:rStyle w:val="FontStyle58"/>
          <w:sz w:val="28"/>
          <w:szCs w:val="28"/>
        </w:rPr>
        <w:t>я</w:t>
      </w:r>
      <w:r w:rsidRPr="00E073F5">
        <w:rPr>
          <w:rStyle w:val="FontStyle58"/>
          <w:sz w:val="28"/>
          <w:szCs w:val="28"/>
        </w:rPr>
        <w:t xml:space="preserve"> «Монастырщинский </w:t>
      </w:r>
      <w:r w:rsidR="00B96300">
        <w:rPr>
          <w:rStyle w:val="FontStyle58"/>
          <w:sz w:val="28"/>
          <w:szCs w:val="28"/>
        </w:rPr>
        <w:t>муниципальный округ</w:t>
      </w:r>
      <w:r w:rsidRPr="00E073F5">
        <w:rPr>
          <w:rStyle w:val="FontStyle58"/>
          <w:sz w:val="28"/>
          <w:szCs w:val="28"/>
        </w:rPr>
        <w:t xml:space="preserve">» Смоленской </w:t>
      </w:r>
      <w:r w:rsidR="00696572">
        <w:rPr>
          <w:rStyle w:val="FontStyle58"/>
          <w:sz w:val="28"/>
          <w:szCs w:val="28"/>
        </w:rPr>
        <w:t>области</w:t>
      </w:r>
      <w:r w:rsidR="00092528">
        <w:rPr>
          <w:rStyle w:val="FontStyle58"/>
          <w:sz w:val="28"/>
          <w:szCs w:val="28"/>
        </w:rPr>
        <w:t xml:space="preserve"> на 2026 год и плановый период до 2028 года</w:t>
      </w:r>
    </w:p>
    <w:p w:rsidR="00214DD8" w:rsidRDefault="00214DD8" w:rsidP="001540FF">
      <w:pPr>
        <w:pStyle w:val="a6"/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1540FF" w:rsidRDefault="001540FF" w:rsidP="001540FF">
      <w:pPr>
        <w:pStyle w:val="a6"/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214DD8" w:rsidRPr="00BA5AEA" w:rsidRDefault="00214DD8" w:rsidP="001540FF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BA5AEA">
        <w:rPr>
          <w:rFonts w:ascii="Times New Roman" w:hAnsi="Times New Roman" w:cs="Times New Roman"/>
          <w:sz w:val="28"/>
          <w:szCs w:val="28"/>
        </w:rPr>
        <w:t>Заслушав и обсудив</w:t>
      </w:r>
      <w:r w:rsidR="00FF5DE3" w:rsidRPr="00BA5AEA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CE090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«Монастырщинский муниципальный округ» Смоленской области </w:t>
      </w:r>
      <w:r w:rsidR="001540FF">
        <w:rPr>
          <w:rFonts w:ascii="Times New Roman" w:hAnsi="Times New Roman" w:cs="Times New Roman"/>
          <w:sz w:val="28"/>
          <w:szCs w:val="28"/>
        </w:rPr>
        <w:t>«О</w:t>
      </w:r>
      <w:r w:rsidR="00E073F5" w:rsidRPr="00E073F5">
        <w:rPr>
          <w:rFonts w:ascii="Times New Roman" w:hAnsi="Times New Roman" w:cs="Times New Roman"/>
          <w:sz w:val="28"/>
          <w:szCs w:val="28"/>
        </w:rPr>
        <w:t xml:space="preserve"> </w:t>
      </w:r>
      <w:r w:rsidR="00092528" w:rsidRPr="00092528">
        <w:rPr>
          <w:rFonts w:ascii="Times New Roman" w:hAnsi="Times New Roman" w:cs="Times New Roman"/>
          <w:sz w:val="28"/>
          <w:szCs w:val="28"/>
        </w:rPr>
        <w:t>прогнозе социально-экономического развития муниципального образования «Монастырщинский муниципальный округ» Смоленской области на 2026 год и плановый период до 2028 года</w:t>
      </w:r>
      <w:r w:rsidR="001540FF">
        <w:rPr>
          <w:rFonts w:ascii="Times New Roman" w:hAnsi="Times New Roman" w:cs="Times New Roman"/>
          <w:sz w:val="28"/>
          <w:szCs w:val="28"/>
        </w:rPr>
        <w:t>»</w:t>
      </w:r>
      <w:r w:rsidRPr="00BA5AEA">
        <w:rPr>
          <w:rFonts w:ascii="Times New Roman" w:hAnsi="Times New Roman" w:cs="Times New Roman"/>
          <w:sz w:val="28"/>
          <w:szCs w:val="28"/>
        </w:rPr>
        <w:t xml:space="preserve">, </w:t>
      </w:r>
      <w:r w:rsidRPr="00BA5AEA">
        <w:rPr>
          <w:rFonts w:ascii="Times New Roman" w:hAnsi="Times New Roman" w:cs="Times New Roman"/>
          <w:spacing w:val="5"/>
          <w:sz w:val="28"/>
          <w:szCs w:val="28"/>
        </w:rPr>
        <w:t xml:space="preserve">Монастырщинский </w:t>
      </w:r>
      <w:r w:rsidR="004B0A0E">
        <w:rPr>
          <w:rFonts w:ascii="Times New Roman" w:hAnsi="Times New Roman" w:cs="Times New Roman"/>
          <w:spacing w:val="5"/>
          <w:sz w:val="28"/>
          <w:szCs w:val="28"/>
        </w:rPr>
        <w:t xml:space="preserve">окружной </w:t>
      </w:r>
      <w:r w:rsidRPr="00BA5AEA">
        <w:rPr>
          <w:rFonts w:ascii="Times New Roman" w:hAnsi="Times New Roman" w:cs="Times New Roman"/>
          <w:spacing w:val="5"/>
          <w:sz w:val="28"/>
          <w:szCs w:val="28"/>
        </w:rPr>
        <w:t>Совет депутатов</w:t>
      </w:r>
    </w:p>
    <w:p w:rsidR="00214DD8" w:rsidRPr="00BA5AEA" w:rsidRDefault="00214DD8" w:rsidP="001540FF">
      <w:pPr>
        <w:pStyle w:val="a6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214DD8" w:rsidRDefault="00214DD8" w:rsidP="001540FF">
      <w:pPr>
        <w:pStyle w:val="a6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РЕШИЛ:</w:t>
      </w:r>
    </w:p>
    <w:p w:rsidR="00214DD8" w:rsidRDefault="00214DD8" w:rsidP="001540FF">
      <w:pPr>
        <w:pStyle w:val="a6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214DD8" w:rsidRPr="00BA5AEA" w:rsidRDefault="00214DD8" w:rsidP="001540FF">
      <w:pP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t>1.</w:t>
      </w:r>
      <w:r w:rsidR="00BA5AEA">
        <w:rPr>
          <w:rFonts w:ascii="Times New Roman" w:hAnsi="Times New Roman" w:cs="Times New Roman"/>
          <w:bCs/>
          <w:spacing w:val="3"/>
          <w:sz w:val="28"/>
          <w:szCs w:val="28"/>
        </w:rPr>
        <w:t> </w:t>
      </w:r>
      <w:r w:rsidRPr="00BA5AEA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Информацию </w:t>
      </w:r>
      <w:r w:rsidR="001540FF">
        <w:rPr>
          <w:rFonts w:ascii="Times New Roman" w:hAnsi="Times New Roman" w:cs="Times New Roman"/>
          <w:bCs/>
          <w:spacing w:val="3"/>
          <w:sz w:val="28"/>
          <w:szCs w:val="28"/>
        </w:rPr>
        <w:t>«О</w:t>
      </w:r>
      <w:r w:rsidR="00092528" w:rsidRPr="00092528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прогнозе социально-экономического развития муниципального образования «Монастырщинский муниципальный округ» Смоленской области на 2026 год и плановый период до 2028 года</w:t>
      </w:r>
      <w:r w:rsidR="001540FF">
        <w:rPr>
          <w:rFonts w:ascii="Times New Roman" w:hAnsi="Times New Roman" w:cs="Times New Roman"/>
          <w:bCs/>
          <w:spacing w:val="3"/>
          <w:sz w:val="28"/>
          <w:szCs w:val="28"/>
        </w:rPr>
        <w:t>»</w:t>
      </w:r>
      <w:r w:rsidR="00E073F5">
        <w:rPr>
          <w:rFonts w:ascii="Times New Roman" w:hAnsi="Times New Roman" w:cs="Times New Roman"/>
          <w:sz w:val="28"/>
          <w:szCs w:val="28"/>
        </w:rPr>
        <w:t xml:space="preserve"> </w:t>
      </w:r>
      <w:r w:rsidR="009969D2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0754F6" w:rsidRPr="00BA5AEA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(прилагается)</w:t>
      </w:r>
      <w:r w:rsidRPr="00BA5AEA">
        <w:rPr>
          <w:rFonts w:ascii="Times New Roman" w:hAnsi="Times New Roman" w:cs="Times New Roman"/>
          <w:bCs/>
          <w:spacing w:val="3"/>
          <w:sz w:val="28"/>
          <w:szCs w:val="28"/>
        </w:rPr>
        <w:t>.</w:t>
      </w:r>
    </w:p>
    <w:p w:rsidR="00214DD8" w:rsidRDefault="00214DD8" w:rsidP="001540FF">
      <w:pPr>
        <w:pStyle w:val="a6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A5A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Настоящее решение вступает в силу с </w:t>
      </w:r>
      <w:r w:rsidR="004B0A0E">
        <w:rPr>
          <w:rFonts w:ascii="Times New Roman" w:hAnsi="Times New Roman" w:cs="Times New Roman"/>
          <w:bCs/>
          <w:spacing w:val="3"/>
          <w:sz w:val="28"/>
          <w:szCs w:val="28"/>
        </w:rPr>
        <w:t>даты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подписания.</w:t>
      </w:r>
    </w:p>
    <w:p w:rsidR="00214DD8" w:rsidRDefault="00214DD8" w:rsidP="001540FF">
      <w:pPr>
        <w:pStyle w:val="a6"/>
        <w:ind w:firstLine="708"/>
        <w:rPr>
          <w:rFonts w:ascii="Times New Roman" w:hAnsi="Times New Roman" w:cs="Times New Roman"/>
          <w:spacing w:val="-11"/>
          <w:sz w:val="28"/>
          <w:szCs w:val="28"/>
        </w:rPr>
      </w:pPr>
    </w:p>
    <w:p w:rsidR="003F62C9" w:rsidRDefault="003F62C9" w:rsidP="001540FF">
      <w:pPr>
        <w:pStyle w:val="a6"/>
        <w:ind w:firstLine="708"/>
        <w:rPr>
          <w:rFonts w:ascii="Times New Roman" w:hAnsi="Times New Roman" w:cs="Times New Roman"/>
          <w:spacing w:val="-11"/>
          <w:sz w:val="28"/>
          <w:szCs w:val="28"/>
        </w:rPr>
      </w:pPr>
    </w:p>
    <w:tbl>
      <w:tblPr>
        <w:tblStyle w:val="a7"/>
        <w:tblW w:w="10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2"/>
      </w:tblGrid>
      <w:tr w:rsidR="00214DD8" w:rsidTr="00BA5AEA">
        <w:trPr>
          <w:trHeight w:val="1411"/>
        </w:trPr>
        <w:tc>
          <w:tcPr>
            <w:tcW w:w="5231" w:type="dxa"/>
          </w:tcPr>
          <w:p w:rsidR="00214DD8" w:rsidRDefault="001540FF" w:rsidP="001540FF">
            <w:pPr>
              <w:pStyle w:val="a6"/>
              <w:ind w:firstLine="0"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Глава   муниципального</w:t>
            </w:r>
            <w:r w:rsidR="00214D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образования</w:t>
            </w:r>
          </w:p>
          <w:p w:rsidR="00214DD8" w:rsidRDefault="00214DD8" w:rsidP="001540FF">
            <w:pPr>
              <w:pStyle w:val="a6"/>
              <w:ind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«Монастырщинский </w:t>
            </w:r>
            <w:r w:rsidR="00B96300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» </w:t>
            </w:r>
            <w:r w:rsidR="00BA5C6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Смоленской области</w:t>
            </w:r>
          </w:p>
          <w:p w:rsidR="00694E1B" w:rsidRDefault="00694E1B" w:rsidP="001540FF">
            <w:pPr>
              <w:pStyle w:val="a6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  <w:p w:rsidR="00214DD8" w:rsidRPr="00BA5C69" w:rsidRDefault="003407D1" w:rsidP="001540FF">
            <w:pPr>
              <w:pStyle w:val="a6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                    </w:t>
            </w:r>
            <w:r w:rsidR="00214D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     </w:t>
            </w:r>
            <w:r w:rsidR="001540FF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</w:t>
            </w:r>
            <w:r w:rsidR="00214D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214DD8" w:rsidRPr="00A16389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В.Б. Титов</w:t>
            </w:r>
          </w:p>
        </w:tc>
        <w:tc>
          <w:tcPr>
            <w:tcW w:w="5232" w:type="dxa"/>
          </w:tcPr>
          <w:p w:rsidR="00FF5DE3" w:rsidRDefault="00BA5C69" w:rsidP="001540FF">
            <w:pPr>
              <w:pStyle w:val="a6"/>
              <w:ind w:left="581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Председатель</w:t>
            </w:r>
          </w:p>
          <w:p w:rsidR="00FF5DE3" w:rsidRDefault="00BA5C69" w:rsidP="001540FF">
            <w:pPr>
              <w:pStyle w:val="a6"/>
              <w:ind w:left="581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Монастырщинского </w:t>
            </w:r>
            <w:r w:rsidR="00B96300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окружного</w:t>
            </w:r>
          </w:p>
          <w:p w:rsidR="00214DD8" w:rsidRDefault="00214DD8" w:rsidP="001540FF">
            <w:pPr>
              <w:pStyle w:val="a6"/>
              <w:ind w:left="58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Совета депутатов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94E1B" w:rsidRDefault="00694E1B" w:rsidP="001540F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DD8" w:rsidRPr="00BA5C69" w:rsidRDefault="00214DD8" w:rsidP="001540FF">
            <w:pPr>
              <w:pStyle w:val="a6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4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407D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54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A5C69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:rsidR="000702F0" w:rsidRDefault="000702F0" w:rsidP="001540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657" w:rsidRDefault="00A81657" w:rsidP="001540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2FA9" w:rsidRDefault="00972FA9" w:rsidP="001540FF">
      <w:pPr>
        <w:widowControl w:val="0"/>
        <w:autoSpaceDE w:val="0"/>
        <w:autoSpaceDN w:val="0"/>
        <w:adjustRightInd w:val="0"/>
        <w:spacing w:after="0" w:line="240" w:lineRule="auto"/>
        <w:ind w:left="567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2528" w:rsidRPr="00092528" w:rsidRDefault="00092528" w:rsidP="001540FF">
      <w:pPr>
        <w:widowControl w:val="0"/>
        <w:autoSpaceDE w:val="0"/>
        <w:autoSpaceDN w:val="0"/>
        <w:adjustRightInd w:val="0"/>
        <w:spacing w:after="0" w:line="240" w:lineRule="auto"/>
        <w:ind w:left="567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25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92528" w:rsidRPr="00092528" w:rsidRDefault="00092528" w:rsidP="001540FF">
      <w:pPr>
        <w:widowControl w:val="0"/>
        <w:autoSpaceDE w:val="0"/>
        <w:autoSpaceDN w:val="0"/>
        <w:adjustRightInd w:val="0"/>
        <w:spacing w:after="0" w:line="240" w:lineRule="auto"/>
        <w:ind w:left="567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2528">
        <w:rPr>
          <w:rFonts w:ascii="Times New Roman" w:eastAsia="Times New Roman" w:hAnsi="Times New Roman" w:cs="Times New Roman"/>
          <w:sz w:val="24"/>
          <w:szCs w:val="24"/>
        </w:rPr>
        <w:t>к решению Монастырщинского</w:t>
      </w:r>
    </w:p>
    <w:p w:rsidR="00092528" w:rsidRPr="00092528" w:rsidRDefault="00092528" w:rsidP="001540FF">
      <w:pPr>
        <w:widowControl w:val="0"/>
        <w:autoSpaceDE w:val="0"/>
        <w:autoSpaceDN w:val="0"/>
        <w:adjustRightInd w:val="0"/>
        <w:spacing w:after="0" w:line="240" w:lineRule="auto"/>
        <w:ind w:left="5670"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2528">
        <w:rPr>
          <w:rFonts w:ascii="Times New Roman" w:eastAsia="Times New Roman" w:hAnsi="Times New Roman" w:cs="Times New Roman"/>
          <w:sz w:val="24"/>
          <w:szCs w:val="24"/>
        </w:rPr>
        <w:t>окружного Совета депутатов</w:t>
      </w:r>
    </w:p>
    <w:p w:rsidR="00092528" w:rsidRPr="00092528" w:rsidRDefault="001540FF" w:rsidP="001540FF">
      <w:pPr>
        <w:widowControl w:val="0"/>
        <w:autoSpaceDE w:val="0"/>
        <w:autoSpaceDN w:val="0"/>
        <w:adjustRightInd w:val="0"/>
        <w:spacing w:after="0" w:line="240" w:lineRule="auto"/>
        <w:ind w:left="5670"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E490D">
        <w:rPr>
          <w:rFonts w:ascii="Times New Roman" w:eastAsia="Times New Roman" w:hAnsi="Times New Roman" w:cs="Times New Roman"/>
          <w:sz w:val="24"/>
          <w:szCs w:val="24"/>
        </w:rPr>
        <w:t xml:space="preserve"> 26.11.2025г. </w:t>
      </w:r>
      <w:r w:rsidR="00092528" w:rsidRPr="0009252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E490D">
        <w:rPr>
          <w:rFonts w:ascii="Times New Roman" w:eastAsia="Times New Roman" w:hAnsi="Times New Roman" w:cs="Times New Roman"/>
          <w:sz w:val="24"/>
          <w:szCs w:val="24"/>
        </w:rPr>
        <w:t xml:space="preserve"> 134</w:t>
      </w:r>
      <w:bookmarkStart w:id="0" w:name="_GoBack"/>
      <w:bookmarkEnd w:id="0"/>
    </w:p>
    <w:p w:rsidR="00092528" w:rsidRPr="00092528" w:rsidRDefault="00092528" w:rsidP="0009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657" w:rsidRPr="00A81657" w:rsidRDefault="00A81657" w:rsidP="00C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BB79A2" w:rsidRPr="00202382" w:rsidRDefault="00BB79A2" w:rsidP="00EC0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BB79A2" w:rsidRPr="00202382" w:rsidRDefault="00BB79A2" w:rsidP="00EC0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 xml:space="preserve">к показателям прогноза социально- экономического развития муниципального образования «Монастырщинский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муниципальный округ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 xml:space="preserve">» Смоленской области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2026 год и на </w:t>
      </w:r>
      <w:r w:rsidR="00910F70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плановый 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период </w:t>
      </w:r>
      <w:r w:rsidR="00910F70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910F70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BB79A2" w:rsidRPr="00202382" w:rsidRDefault="00BB79A2" w:rsidP="00EC07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9A2" w:rsidRDefault="00BB79A2" w:rsidP="00EC0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Прогноз социально-экономического развития муниципального образования 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год и на плановый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="00910F70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10F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(далее - прогноз) разработан на основе одобренных Правительством Российской Федерации сценарных условий функционирования экономики РФ и основных параметров прогноза социально-экономического развития Российской Федерации на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BB79A2" w:rsidRPr="001778FF" w:rsidRDefault="00BB79A2" w:rsidP="00EC0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8FF">
        <w:rPr>
          <w:rFonts w:ascii="Times New Roman" w:eastAsia="Times New Roman" w:hAnsi="Times New Roman" w:cs="Times New Roman"/>
          <w:sz w:val="28"/>
          <w:szCs w:val="28"/>
        </w:rPr>
        <w:t>При разработке среднесрочного прогноза использованы материалы, представленные территориальным органом Федеральной службы государственной  статистики по Смоленской области, данные предприятий и организаций, осуществляющих свою деятельность на территории округа.</w:t>
      </w:r>
    </w:p>
    <w:p w:rsidR="00BB79A2" w:rsidRPr="00202382" w:rsidRDefault="00BB79A2" w:rsidP="00EC0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Прогноз разработан на основе анализа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«Монастырщинский муниципальный округ» Смоленской области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годы путем уточнения ранее утвержденных параметров прогноза за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год, а также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B79A2" w:rsidRPr="00202382" w:rsidRDefault="00BB79A2" w:rsidP="00EC0745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Демографическая ситуация</w:t>
      </w:r>
    </w:p>
    <w:p w:rsidR="00BB79A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</w:pP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Демографическая ситуация в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</w:t>
      </w:r>
      <w:r w:rsidR="00C06A6B">
        <w:rPr>
          <w:rFonts w:ascii="Times New Roman" w:eastAsia="Times New Roman" w:hAnsi="Times New Roman" w:cs="Times New Roman"/>
          <w:sz w:val="28"/>
          <w:szCs w:val="28"/>
        </w:rPr>
        <w:t>г» Смоленской области продолжает оставаться сложной, н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а протяжении последних лет характеризуется стабильной тенденцией снижения численности населения.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Сокращение численности населения происходило как за счет естественной убыли, так и за счет миграционной убыли. Определяющим фактором сокращения численности населения является естественная убыль, то есть превышение числа смертей над числом рождений.</w:t>
      </w:r>
    </w:p>
    <w:p w:rsidR="00BB79A2" w:rsidRPr="00202382" w:rsidRDefault="00BB79A2" w:rsidP="00EC0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Среднегодовая численность постоянного населения в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году уменьшилась по сравнению с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годом на 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73</w:t>
      </w:r>
      <w:r w:rsidRPr="002023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человека и составила</w:t>
      </w:r>
      <w:r w:rsidRPr="0020238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02382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669</w:t>
      </w:r>
      <w:r w:rsidRPr="002023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23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человек. На 01.01.202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года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численность населения составля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570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человек, в том числе городское население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3,113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человек, сельское – 4,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457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человек. </w:t>
      </w:r>
    </w:p>
    <w:p w:rsidR="00BB79A2" w:rsidRDefault="00BB79A2" w:rsidP="00EC0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родилось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46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человек, умерло –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99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человек. </w:t>
      </w:r>
    </w:p>
    <w:p w:rsidR="00BB79A2" w:rsidRDefault="00BB79A2" w:rsidP="00EC0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B79A2" w:rsidRPr="00202382" w:rsidRDefault="00BB79A2" w:rsidP="00EC07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Динамика рождаемости и смертности</w:t>
      </w:r>
    </w:p>
    <w:p w:rsidR="00BB79A2" w:rsidRPr="00202382" w:rsidRDefault="00BB79A2" w:rsidP="00EC07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1C25">
        <w:rPr>
          <w:rFonts w:ascii="Calibri" w:eastAsia="Times New Roman" w:hAnsi="Calibri" w:cs="Times New Roman"/>
          <w:noProof/>
          <w:color w:val="000000" w:themeColor="text1"/>
          <w:sz w:val="16"/>
          <w:szCs w:val="16"/>
        </w:rPr>
        <w:drawing>
          <wp:inline distT="0" distB="0" distL="0" distR="0" wp14:anchorId="5F9DE8BB" wp14:editId="47F63D80">
            <wp:extent cx="6353175" cy="2438400"/>
            <wp:effectExtent l="0" t="0" r="0" b="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6A6B" w:rsidRDefault="00C06A6B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Уровень смертности по-прежнему остается высоким, что и является основной причиной естественной убыли населения. За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смертность превысила рождаемость в 4,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раза (в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данное соотношение было 4,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раза).</w:t>
      </w:r>
      <w:r w:rsidRPr="00202382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 </w:t>
      </w:r>
      <w:r w:rsidRPr="002023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Миграционная убыль в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году составила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46</w:t>
      </w:r>
      <w:r w:rsidRPr="002023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человек.</w:t>
      </w:r>
      <w:r w:rsidRPr="0020238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году рождаемость планируется на уровне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60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человек. </w:t>
      </w:r>
    </w:p>
    <w:p w:rsidR="00BB79A2" w:rsidRPr="00202382" w:rsidRDefault="00BB79A2" w:rsidP="00EC07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B79A2" w:rsidRPr="00202382" w:rsidRDefault="00BB79A2" w:rsidP="00EC07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4CA24319" wp14:editId="07F4E9A1">
            <wp:extent cx="6349042" cy="2398143"/>
            <wp:effectExtent l="0" t="0" r="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79A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Естественная убыль населения в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составит 125 человек.</w:t>
      </w:r>
    </w:p>
    <w:p w:rsidR="00BB79A2" w:rsidRPr="00202382" w:rsidRDefault="00BB79A2" w:rsidP="00EC0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Однако, до тех пор, пока существует естественная убыль населения, демографическая ситуация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муниципальном округ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остается сложной.</w:t>
      </w:r>
    </w:p>
    <w:p w:rsidR="00BB79A2" w:rsidRPr="00202382" w:rsidRDefault="00BB79A2" w:rsidP="00EC0745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Миграция является одним из основополагающих факторов изменения численности. Ежегодное сокращение миграционного прироста наблюдается 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е. Миграционное движение населения связано с транспортно-географическим положением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а. Привлекательность города Смоленска и Московского региона подталкивает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lastRenderedPageBreak/>
        <w:t>часть населения к переезду, особенно это касается молодежи, для которой столичный регион интересен в качестве места учебы и работы.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В среднесрочной перспективе демографическая ситуация в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будет развиваться под влиянием сложившихся тенденций рождаемости и смертности,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 с учетом предполагаемого роста миграции населения. В результате среднегодовая численность населения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составит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7,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 человек.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BB79A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2. Сельское хозяйство</w:t>
      </w:r>
    </w:p>
    <w:p w:rsidR="00BB79A2" w:rsidRPr="0020238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9A2" w:rsidRPr="00202382" w:rsidRDefault="00BB79A2" w:rsidP="00EC0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Основной отраслью экономики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Смоленской области является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сельское хозяйство. От эффективности работы агропромышленного комплекса зависит экономическая и социальная стабильность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а в целом.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0745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производством сельскохозяйственной продукции занимаются </w:t>
      </w: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сельхозпредприятий, 7 крестьянских (фермерских) хозяйств и личные подсобные хозяйства граждан.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валовой продукции  сельского хозяйства во всех категориях хозяйств за 2024 год составил 1285,5 млн. руб. (темп роста к 2023 году в сопоставимых ценах – 95,8%). 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Продукция растениеводства составила 597,1 млн. руб. (индекс производства продукции растениеводства – 104,0 %).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Посевная площадь сельскохозяйственных культур во всех категориях хозяйств уменьшилась и составила 23733 га</w:t>
      </w:r>
      <w:r w:rsidR="00EC07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90,6% к уровню 2023 года. Уменьшились посевные площади в сельскохозяйственных организациях и хозяйствах населения. В крестьянских (фермерских) хозяйствах посевные площади были увеличены, увеличение составило 118,3% к уровню 2023 года.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Валовой сбор зерна во всех категориях хозяйств за 2024 год уменьшился и составил 13165,5 тонн (65,8% к 2023 году). Производство зерна сократилось к уровню прошлого года в связи с изменением структуры посевов сельскохозяйственных культур. В ЗАО «Тропарево» в 2023 году площадь 2104 га</w:t>
      </w:r>
      <w:r w:rsidR="00EC07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использовалась под зерновыми культурами, а в 2024 году эта площадь была занята под масличными культурами (рапс). Фактический сбор семян рапса составил 4752,6 тонны. Во всех категориях хозяйств валовой сбор рапса превысил уровень 2023 года в 70,1 раза.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Увеличение производства зерна планируется до конца прогнозируемого периода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 раза</w:t>
      </w: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факту 2024 года и его производство составит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21500</w:t>
      </w: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тонны.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Валовой сбор овощей открытого грунта увеличился на 109% к уровню 2023 года и составил 708,4 тонны. Производство овощных культур планируется только в личных подсобных хозяйствах, и до конца прогнозируемого периода их производство ожидается 720 тонн, что составит к факту 2024 года 101,6%.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Производство картофеля во всех категориях хозяйств уменьшилось за счет снижения урожайности, что составило 72,1% к уровню 2023 года или 4318,7 тонн.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Картофеля в 2025 году планируется произвести 4328,4 тонны и до конца прогнозируемого периода 4420,2 тонны, что составляет 102,4 % к факту 2024 года.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В 2025 году прогнозируется производство льноволокна. Площадь, занятая под этой культурой составляет в текущем году 86 га. Индивидуальный предприниматель Петракович И.Ю. планирует дальнейшее увеличение площадей льна.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Индекс производства продукции животноводства за 2024 год выполнен на 90,3%. Объем валовой продукции животноводства  в хозяйствах всех категорий в денежном выражении составил 688,4 млн. рублей.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Во всех категориях хозяйств валовой надой молока в 2024 году составил 8380 тонн или 82,3% к уровню 2023 года. Планируется до конца прогнозируемого периода увеличение его производства до 8549,8 тонн, что составит 102% к факту 2024 года. Увеличение производства молока планируется за счет реализации инвестиционного проекта по строительству на территории округа молочно-товарной фермы на 1 800 голов крупного рогатого скота в ООО «Молагророст».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Производство скота и птицы на убой в живой массе в 2024 году составило 2274,2 тонны или 129% к уровню 2023 года. К 2028 году прогнозируется производство скота до 2273,3 тонны. В связи с сокращением поголовья скота увеличение этого показателя не прогнозируется.  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К 2028 году долю прибыльных сельскохозяйственных организаций планируется довести до 100%.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Социально-экономическое развитие сельского хозяйства в 2026-2028 годах будет происходить за счет таких направлений как: привлечение сторонних инвесторов в сельскохозяйственное производство и создание новых фермерских хозяйств из числа ЛПХ за счет участия в конкурсах на получение грантов.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приоритетами развития сельского хозяйства в прогнозном периоде будут являться: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- сохранение посевных площадей сельскохозяйственных культур;</w:t>
      </w:r>
    </w:p>
    <w:p w:rsidR="00BB79A2" w:rsidRPr="005D1A6B" w:rsidRDefault="00BB79A2" w:rsidP="00EC074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- сохранение и увеличение объема производства сельскохозяйственной продукции;</w:t>
      </w:r>
    </w:p>
    <w:p w:rsidR="00BB79A2" w:rsidRDefault="00BB79A2" w:rsidP="00EC074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</w:r>
      <w:r w:rsidRPr="005D1A6B">
        <w:rPr>
          <w:rFonts w:ascii="Times New Roman" w:eastAsia="Calibri" w:hAnsi="Times New Roman" w:cs="Times New Roman"/>
          <w:sz w:val="28"/>
          <w:szCs w:val="28"/>
          <w:lang w:eastAsia="en-US"/>
        </w:rPr>
        <w:t>- сохранение и увеличение численности поголовья крупного рогатого скота.</w:t>
      </w:r>
    </w:p>
    <w:p w:rsidR="00BB79A2" w:rsidRDefault="00BB79A2" w:rsidP="00EC074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79A2" w:rsidRPr="00202382" w:rsidRDefault="00BB79A2" w:rsidP="00EC074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79A2" w:rsidRPr="00202382" w:rsidRDefault="00BB79A2" w:rsidP="00EC07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7E3D64FC" wp14:editId="14580193">
            <wp:extent cx="5977890" cy="2898775"/>
            <wp:effectExtent l="0" t="0" r="381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79A2" w:rsidRDefault="00BB79A2" w:rsidP="00EC074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9A2" w:rsidRDefault="00BB79A2" w:rsidP="00EC074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3. Строительство</w:t>
      </w:r>
    </w:p>
    <w:p w:rsidR="00BB79A2" w:rsidRDefault="00BB79A2" w:rsidP="00EC074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введено жилья 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455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тыс. кв. 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составило 41,7% к уровню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По оценке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ввод в эксплуатацию жилых домов составит 0,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60 тыс. кв. м. За период с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 за счет индивидуального строительства домов населением, планируется ввести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00 тыс. кв. м жилья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из них в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в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году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00, в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00 тыс. кв. 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2026 году планируется строительство многоквартирного дома для молодых специалистов и граждан льготных категорий.</w:t>
      </w:r>
    </w:p>
    <w:p w:rsidR="00BB79A2" w:rsidRPr="0020238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9A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4. Торговля и услуги населению</w:t>
      </w:r>
    </w:p>
    <w:p w:rsidR="00BB79A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9A2" w:rsidRDefault="00BB79A2" w:rsidP="00EC0745">
      <w:pPr>
        <w:widowControl w:val="0"/>
        <w:spacing w:after="0" w:line="240" w:lineRule="auto"/>
        <w:ind w:right="17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Торговля 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0238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это сфера потребительского рынка, которая занимает весомую часть в его структуре и вносит существенный вклад в социально-экономическое развитие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</w:t>
      </w:r>
      <w:r w:rsidR="00C06A6B">
        <w:rPr>
          <w:rFonts w:ascii="Times New Roman" w:eastAsia="Times New Roman" w:hAnsi="Times New Roman" w:cs="Times New Roman"/>
          <w:sz w:val="28"/>
          <w:szCs w:val="28"/>
        </w:rPr>
        <w:t>г»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.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Потребительский рынок – это сочетание связанных друг с другом отраслей,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собственности, осуществляющих свою деятельность в сфере торговли, общественного питания, бытовых услуг, индустрии отдыха и развлечений. </w:t>
      </w:r>
    </w:p>
    <w:p w:rsidR="00BB79A2" w:rsidRPr="00202382" w:rsidRDefault="00BB79A2" w:rsidP="00EC0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 wp14:anchorId="0F4118C8" wp14:editId="4F6062DC">
            <wp:extent cx="6297283" cy="1932317"/>
            <wp:effectExtent l="38100" t="0" r="0" b="0"/>
            <wp:docPr id="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Потребительский рынок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02382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Смоленской области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представлен розничной торговлей, общественным питанием и различными видами платных услуг, предоставляемых населению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На 1 января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года сфера торговли была представлена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объектами торговой сети </w:t>
      </w:r>
      <w:r w:rsidRPr="002023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 ярмаркой выходного дня.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Общая торговая площадь по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муниципальному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5321,40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кв. м.</w:t>
      </w:r>
    </w:p>
    <w:p w:rsidR="00BB79A2" w:rsidRPr="00202382" w:rsidRDefault="00BB79A2" w:rsidP="00EC0745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Оборот розничной торговли в действующих ценах за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1317,4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млн. руб. (увеличение к уровню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года на 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%).</w:t>
      </w:r>
    </w:p>
    <w:p w:rsidR="00BB79A2" w:rsidRPr="00202382" w:rsidRDefault="00BB79A2" w:rsidP="00EC0745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году оборот розничной торговли по оценке составит </w:t>
      </w:r>
      <w:r>
        <w:rPr>
          <w:rFonts w:ascii="Times New Roman" w:eastAsia="Times New Roman" w:hAnsi="Times New Roman" w:cs="Times New Roman"/>
          <w:sz w:val="28"/>
          <w:szCs w:val="28"/>
        </w:rPr>
        <w:t>1486,04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млн. руб. с темпом роста 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%, к уровню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ценах.</w:t>
      </w:r>
    </w:p>
    <w:p w:rsidR="00BB79A2" w:rsidRPr="00202382" w:rsidRDefault="00BB79A2" w:rsidP="00EC0745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Рост оборота розничной торговли в прогнозном периоде составит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– 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%, в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– 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,8 %, в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– 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В сфере услуг населению 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е функционируют: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бытового обслуживания, где работает 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- 3 службы легкового такси.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Объём платных услуг населению по крупным и средним предприятиям 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73,8. В 2025 году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объем платных услуг по оценке сложится в сумме </w:t>
      </w:r>
      <w:r>
        <w:rPr>
          <w:rFonts w:ascii="Times New Roman" w:eastAsia="Times New Roman" w:hAnsi="Times New Roman" w:cs="Times New Roman"/>
          <w:sz w:val="28"/>
          <w:szCs w:val="28"/>
        </w:rPr>
        <w:t>84,04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с темпом роста 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% в сопоставимых ценах к уровню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В прогнозном периоде темпы роста объема платных услуг населению составят: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– 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%, в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– 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%, в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– 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До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года на динамику объема платных услуг населению так же, как и на оборот розничной торговли, наибольшее влияние будет оказывать рост доходов населения.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В среднесрочной перспективе Администрацией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</w:t>
      </w:r>
      <w:r w:rsidR="00EC0745">
        <w:rPr>
          <w:rFonts w:ascii="Times New Roman" w:eastAsia="Times New Roman" w:hAnsi="Times New Roman" w:cs="Times New Roman"/>
          <w:sz w:val="28"/>
          <w:szCs w:val="28"/>
        </w:rPr>
        <w:t>г» Смоленской области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продолжить работу, направленную на 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развития розничной торговой деятельности и объема платных услуг на территории Монастырщинского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деловой активности хозяйствующих объектов,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осуществляющих торговую деятельность.</w:t>
      </w:r>
    </w:p>
    <w:p w:rsidR="00BB79A2" w:rsidRPr="00202382" w:rsidRDefault="00BB79A2" w:rsidP="00EC07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В этих целях планируется проведение следующих мероприятий: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lastRenderedPageBreak/>
        <w:t>- активизация участия предприятий торговли в реализации социальной политики, проводимой Администрацией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 w:rsidR="00EC0745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- проведение мониторинга цен на отдельные виды социально значимых продовольственных товаров первой необходимости в целях определения экономической доступности товаров для населения</w:t>
      </w:r>
      <w:r w:rsidRPr="00202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а;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- обеспечение участия торговых предприятий в культурно-массовых мероприятиях, проводимых Администрацией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</w:t>
      </w:r>
      <w:r w:rsidR="00EC0745">
        <w:rPr>
          <w:rFonts w:ascii="Times New Roman" w:eastAsia="Times New Roman" w:hAnsi="Times New Roman" w:cs="Times New Roman"/>
          <w:sz w:val="28"/>
          <w:szCs w:val="28"/>
        </w:rPr>
        <w:t>г» Смоленской области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 с целью осуществления выездной торговли;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выставок-продаж и ярмарок по реализации сельхозпродукции, произведенной товаропроизводителями, а также гражданами, ведущими крестьянские (фермерские) хозяйства, личные подсобные хозяйства или занимающиеся садоводством, огородничеством, животноводством.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9A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5. Малое и среднее предпринимательство</w:t>
      </w:r>
    </w:p>
    <w:p w:rsidR="00BB79A2" w:rsidRPr="0020238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Прогноз развития малого и среднего предпринимательства на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годы рассчитан на основании анализа статистических данных по итогам сплошного статистического обследования малого бизнеса за 2015 год, оценки развития малого и среднего предпринимательства 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BB79A2" w:rsidRPr="00202382" w:rsidRDefault="00BB79A2" w:rsidP="00EC0745">
      <w:pPr>
        <w:widowControl w:val="0"/>
        <w:tabs>
          <w:tab w:val="left" w:pos="5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годах число малых и средних предприятий рассчитывалось </w:t>
      </w:r>
      <w:r w:rsidRPr="00202382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Единого реестра субъектов малого и среднего предпринимательства.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По прогнозу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года число малых предприятий в целом по всем видам экономической деятельности увеличится и составит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единиц.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>На начало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на территории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</w:t>
      </w:r>
      <w:r w:rsidR="00EC0745">
        <w:rPr>
          <w:rFonts w:ascii="Times New Roman" w:eastAsia="Times New Roman" w:hAnsi="Times New Roman" w:cs="Times New Roman"/>
          <w:sz w:val="28"/>
          <w:szCs w:val="28"/>
        </w:rPr>
        <w:t>г» Смоленской области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 19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субъект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малого и среднего предпринимательства. Из них индивидуальных предпринимателей 16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>. Количество субъектов МСП по сравнению с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годом </w:t>
      </w:r>
      <w:r w:rsidRPr="002023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увеличилось 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3 </w:t>
      </w:r>
      <w:r w:rsidRPr="002023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единицы.</w:t>
      </w:r>
    </w:p>
    <w:p w:rsidR="00BB79A2" w:rsidRPr="00202382" w:rsidRDefault="00BB79A2" w:rsidP="00EC07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 оценке в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среднесписочная численность работников малых и средних предприятий составит около 188 человек. В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годах численность работников прогнозируется до 19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человек.</w:t>
      </w:r>
    </w:p>
    <w:p w:rsidR="00BB79A2" w:rsidRPr="00202382" w:rsidRDefault="00BB79A2" w:rsidP="00EC07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Структура производства промышленной продукции представлена 2 направлениями: производство и распределение воды, производство тепловой энергии. </w:t>
      </w:r>
    </w:p>
    <w:p w:rsidR="00BB79A2" w:rsidRPr="00202382" w:rsidRDefault="00BB79A2" w:rsidP="00EC0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оборот малых и средних предприятий составил 1,1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45</w:t>
      </w:r>
      <w:r w:rsidRPr="00202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млрд. рублей.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По оценке,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оборот малых и средних предприятий вырастет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% и составит 1,</w:t>
      </w:r>
      <w:r>
        <w:rPr>
          <w:rFonts w:ascii="Times New Roman" w:eastAsia="Times New Roman" w:hAnsi="Times New Roman" w:cs="Times New Roman"/>
          <w:sz w:val="28"/>
          <w:szCs w:val="28"/>
        </w:rPr>
        <w:t>361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млрд. рублей. В перспективе, за счёт ежегодного увеличения оборотов предприятий, а также с учётом открытия новых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предприятий малого бизнеса, общий оборот составит: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 – 1,</w:t>
      </w:r>
      <w:r>
        <w:rPr>
          <w:rFonts w:ascii="Times New Roman" w:eastAsia="Times New Roman" w:hAnsi="Times New Roman" w:cs="Times New Roman"/>
          <w:sz w:val="28"/>
          <w:szCs w:val="28"/>
        </w:rPr>
        <w:t>449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млрд. рублей,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год – 1,</w:t>
      </w:r>
      <w:r>
        <w:rPr>
          <w:rFonts w:ascii="Times New Roman" w:eastAsia="Times New Roman" w:hAnsi="Times New Roman" w:cs="Times New Roman"/>
          <w:sz w:val="28"/>
          <w:szCs w:val="28"/>
        </w:rPr>
        <w:t>522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млрд. рублей,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 – 1,</w:t>
      </w:r>
      <w:r>
        <w:rPr>
          <w:rFonts w:ascii="Times New Roman" w:eastAsia="Times New Roman" w:hAnsi="Times New Roman" w:cs="Times New Roman"/>
          <w:sz w:val="28"/>
          <w:szCs w:val="28"/>
        </w:rPr>
        <w:t>598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млрд. рублей.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В среднесрочной перспективе п</w:t>
      </w:r>
      <w:r w:rsidRPr="0020238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олитика власти в сфере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развития малого предпринимательства и его ориентации на решение актуальных проблем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 w:rsidR="00EC0745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будет </w:t>
      </w:r>
      <w:r w:rsidRPr="0020238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осуществляться в рамках муниципальной программы «Создание благоприятного предпринимательского климата на территории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 w:rsidR="00EC0745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r w:rsidRPr="00202382">
        <w:rPr>
          <w:rFonts w:ascii="Times New Roman" w:eastAsia="Times New Roman" w:hAnsi="Times New Roman" w:cs="Times New Roman"/>
          <w:spacing w:val="-3"/>
          <w:sz w:val="28"/>
          <w:szCs w:val="28"/>
        </w:rPr>
        <w:t>».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 w:rsidR="00EC0745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имеет крайне ограниченные возможности промышленного развития. Небольшая численность и устойчивая тенденция сокращения населения, окраинное положение, удаленность железнодорожного сообщения являются значимыми неблагоприятными факторами, препятствующими размещению нового и росту имеющегося промышленного производства.</w:t>
      </w:r>
    </w:p>
    <w:p w:rsidR="00BB79A2" w:rsidRPr="00202382" w:rsidRDefault="00BB79A2" w:rsidP="00EC0745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будет продолжена работа по созданию благоприятных условий для развития малого и среднего предпринимательства: </w:t>
      </w:r>
    </w:p>
    <w:p w:rsidR="00BB79A2" w:rsidRPr="00202382" w:rsidRDefault="00BB79A2" w:rsidP="00EC0745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- освещение деятельности малого бизнеса, его успехов в газете</w:t>
      </w:r>
      <w:r w:rsidR="00EC0745">
        <w:rPr>
          <w:rFonts w:ascii="Times New Roman" w:eastAsia="Times New Roman" w:hAnsi="Times New Roman" w:cs="Times New Roman"/>
          <w:sz w:val="28"/>
          <w:szCs w:val="28"/>
        </w:rPr>
        <w:t xml:space="preserve"> «Наша жизнь»-</w:t>
      </w:r>
      <w:r>
        <w:rPr>
          <w:rFonts w:ascii="Times New Roman" w:eastAsia="Times New Roman" w:hAnsi="Times New Roman" w:cs="Times New Roman"/>
          <w:sz w:val="28"/>
          <w:szCs w:val="28"/>
        </w:rPr>
        <w:t>Монастырщина»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Администрации муниципального образования 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«Интернет»;</w:t>
      </w:r>
    </w:p>
    <w:p w:rsidR="00BB79A2" w:rsidRPr="00202382" w:rsidRDefault="00BB79A2" w:rsidP="00EC0745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привлечение субъектов малого и среднего предпринимательства в качестве поставщиков и исполнителей подрядных работ для муниципальных нужд; </w:t>
      </w:r>
    </w:p>
    <w:p w:rsidR="00BB79A2" w:rsidRPr="00202382" w:rsidRDefault="00BB79A2" w:rsidP="00EC0745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населения о государственных, региональных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мерах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финансовой поддержки субъектов малого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(социальный контракт, грантовая программа «Первый старт» и др.);</w:t>
      </w:r>
    </w:p>
    <w:p w:rsidR="00BB79A2" w:rsidRPr="00202382" w:rsidRDefault="00BB79A2" w:rsidP="00EC0745">
      <w:pPr>
        <w:tabs>
          <w:tab w:val="center" w:pos="5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пропаганда и популяризация предпринимательской деятельности; 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- предоставление имущественной поддержки субъектам малого предпринимательства;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- обеспечение координации деятельности муниципального образования и общественных организаций по оказанию поддержки малому предпринимательству.</w:t>
      </w:r>
    </w:p>
    <w:p w:rsidR="00BB79A2" w:rsidRPr="00202382" w:rsidRDefault="00BB79A2" w:rsidP="00EC07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79A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6. Инвестиции</w:t>
      </w:r>
    </w:p>
    <w:p w:rsidR="00BB79A2" w:rsidRPr="0020238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9A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По прогнозной оценке,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году на развитие экономики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 w:rsidR="00C06A6B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будут направлены инвестиции в основной капитал в сумме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183,8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индекс физического объема составит 111,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6 % к уровню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инвестиций обусловлено реализацией мероприятий по строительству объектов коммунальной инфраструктуры и инвестиционных проектов.</w:t>
      </w:r>
    </w:p>
    <w:p w:rsidR="00BB79A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FF2" w:rsidRPr="00202382" w:rsidRDefault="00251FF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9A2" w:rsidRPr="0020238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 xml:space="preserve">Динамика инвестиций в основной капитал за счет всех </w:t>
      </w:r>
    </w:p>
    <w:p w:rsidR="00BB79A2" w:rsidRPr="0020238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источников финансирования</w:t>
      </w:r>
    </w:p>
    <w:p w:rsidR="00BB79A2" w:rsidRPr="00202382" w:rsidRDefault="00BB79A2" w:rsidP="00EC0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FBD6039" wp14:editId="5F213D6D">
            <wp:extent cx="6038491" cy="3424687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B79A2" w:rsidRPr="00202382" w:rsidRDefault="00BB79A2" w:rsidP="00EC07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Общий объем инвестиций в основной капитал организаций, не относящихся к субъектам малого предпринимательства,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в 2024 году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147740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,0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за счет собственных средств предприятий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64443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,0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за счет привлеченных средств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83297,0</w:t>
      </w:r>
      <w:r w:rsidR="00C06A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тыс. рублей. </w:t>
      </w:r>
    </w:p>
    <w:p w:rsidR="00BB79A2" w:rsidRPr="00202382" w:rsidRDefault="00BB79A2" w:rsidP="00EC07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Существенное влияние на объем инвестиций оказали следующие предприятия и организации: </w:t>
      </w:r>
    </w:p>
    <w:p w:rsidR="00BB79A2" w:rsidRPr="00202382" w:rsidRDefault="00BB79A2" w:rsidP="00EC07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ТОСП ООО «Брянская мясная компания» – приобретение техники и оборудования на сумму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28561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,0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BB79A2" w:rsidRPr="00202382" w:rsidRDefault="00BB79A2" w:rsidP="00EC07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ОГБУЗ «Монастырщинская центральная </w:t>
      </w:r>
      <w:r>
        <w:rPr>
          <w:rFonts w:ascii="Times New Roman" w:eastAsia="Times New Roman" w:hAnsi="Times New Roman" w:cs="Times New Roman"/>
          <w:sz w:val="28"/>
          <w:szCs w:val="28"/>
        </w:rPr>
        <w:t>районная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больница» – приобретение медицинского оборудования, ремонт зданий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9294,0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BB79A2" w:rsidRPr="00202382" w:rsidRDefault="00BB79A2" w:rsidP="00EC07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Администрация муниципального образования 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» Смоленской области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приобретение дорожной техники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автобусов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33960</w:t>
      </w:r>
      <w:r w:rsidRPr="00202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,0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BB79A2" w:rsidRPr="00202382" w:rsidRDefault="00BB79A2" w:rsidP="00EC07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- ТОПС ФЛ ПАО «Россети Центр»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Смоленскэнерго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– приобретение оборудования и содержание сооружений на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5751</w:t>
      </w:r>
      <w:r w:rsidRPr="00202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,0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BB79A2" w:rsidRPr="00202382" w:rsidRDefault="00BB79A2" w:rsidP="00EC07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АО «ГАЗПРОМ ГАЗОРАСПРЕДЕЛЕНИЕ СМОЛЕНСК» – работы по социальной догазификации на сумму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16794</w:t>
      </w:r>
      <w:r w:rsidRPr="00202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,0</w:t>
      </w:r>
      <w:r w:rsidRPr="00202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тыс. рулей; </w:t>
      </w:r>
    </w:p>
    <w:p w:rsidR="00BB79A2" w:rsidRPr="00202382" w:rsidRDefault="00BB79A2" w:rsidP="00EC07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ТОСП ООО «Агроторг» – на сумму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12345</w:t>
      </w:r>
      <w:r w:rsidRPr="00202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,0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BB79A2" w:rsidRPr="00202382" w:rsidRDefault="00BB79A2" w:rsidP="00EC07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МБОУ Сычевская школа – приобретение оборудования на сумму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10873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,0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BB79A2" w:rsidRPr="00202382" w:rsidRDefault="00BB79A2" w:rsidP="00EC07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bCs/>
          <w:spacing w:val="7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bCs/>
          <w:spacing w:val="7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bCs/>
          <w:spacing w:val="7"/>
          <w:sz w:val="28"/>
          <w:szCs w:val="28"/>
        </w:rPr>
        <w:t xml:space="preserve"> году осуществл</w:t>
      </w:r>
      <w:r>
        <w:rPr>
          <w:rFonts w:ascii="Times New Roman" w:eastAsia="Times New Roman" w:hAnsi="Times New Roman" w:cs="Times New Roman"/>
          <w:bCs/>
          <w:spacing w:val="7"/>
          <w:sz w:val="28"/>
          <w:szCs w:val="28"/>
        </w:rPr>
        <w:t>яется</w:t>
      </w:r>
      <w:r w:rsidRPr="00202382">
        <w:rPr>
          <w:rFonts w:ascii="Times New Roman" w:eastAsia="Times New Roman" w:hAnsi="Times New Roman" w:cs="Times New Roman"/>
          <w:bCs/>
          <w:spacing w:val="7"/>
          <w:sz w:val="28"/>
          <w:szCs w:val="28"/>
        </w:rPr>
        <w:t xml:space="preserve"> реализация инвестиционных проектов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79A2" w:rsidRPr="00202382" w:rsidRDefault="00BB79A2" w:rsidP="00EC07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ИП Петракович И.Ю. 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разведение животноводства и выращивание сельскохозяйственных культур;</w:t>
      </w:r>
    </w:p>
    <w:p w:rsidR="00BB79A2" w:rsidRPr="00202382" w:rsidRDefault="00BB79A2" w:rsidP="00EC07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ООО «Молагророст» 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разведение животноводства, молокопроизводство;</w:t>
      </w:r>
    </w:p>
    <w:p w:rsidR="00BB79A2" w:rsidRPr="00E00124" w:rsidRDefault="00BB79A2" w:rsidP="00EC07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7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ИП Зятькова О.В. 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швейное производство.</w:t>
      </w:r>
    </w:p>
    <w:p w:rsidR="00BB79A2" w:rsidRPr="00202382" w:rsidRDefault="00BB79A2" w:rsidP="00EC07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2026 году планируется ввод в эксплуатацию цеха по переработке молока ИП Акопян А.С.</w:t>
      </w:r>
    </w:p>
    <w:p w:rsidR="00BB79A2" w:rsidRPr="00202382" w:rsidRDefault="00BB79A2" w:rsidP="00EC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На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годы планируется:</w:t>
      </w:r>
    </w:p>
    <w:p w:rsidR="00BB79A2" w:rsidRPr="00202382" w:rsidRDefault="00BB79A2" w:rsidP="00EC07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- реализация проекта «Реконструкция централизованной системы водоснабжения в п. Монастырщина со строительством станций водоподготовки и водопроводных сетей»;</w:t>
      </w:r>
    </w:p>
    <w:p w:rsidR="00BB79A2" w:rsidRPr="00202382" w:rsidRDefault="00BB79A2" w:rsidP="00EC07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капитальный ремонт водопроводных сетей в сельских </w:t>
      </w:r>
      <w:r>
        <w:rPr>
          <w:rFonts w:ascii="Times New Roman" w:eastAsia="Times New Roman" w:hAnsi="Times New Roman" w:cs="Times New Roman"/>
          <w:sz w:val="28"/>
          <w:szCs w:val="28"/>
        </w:rPr>
        <w:t>населенных пунктах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с участием областного бюджета;</w:t>
      </w:r>
    </w:p>
    <w:p w:rsidR="00BB79A2" w:rsidRPr="00202382" w:rsidRDefault="00BB79A2" w:rsidP="00EC07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- реализация мероприятий Региональной программы капитального ремонта общего имущества в многоквартирных домах;</w:t>
      </w:r>
    </w:p>
    <w:p w:rsidR="00BB79A2" w:rsidRPr="00202382" w:rsidRDefault="00BB79A2" w:rsidP="00EC07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- ремонт улично-дорожной сети в п. Монастырщина и сельских </w:t>
      </w:r>
      <w:r>
        <w:rPr>
          <w:rFonts w:ascii="Times New Roman" w:eastAsia="Times New Roman" w:hAnsi="Times New Roman" w:cs="Times New Roman"/>
          <w:sz w:val="28"/>
          <w:szCs w:val="28"/>
        </w:rPr>
        <w:t>населенных пунктах муниципального образования «Монастырщинский муниципальный округ» Смоленской области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«Монастырщинский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C06A6B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строительство новых животноводческих ферм, которые будут сданы в эксплуатацию в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251FF2" w:rsidRDefault="00251FF2" w:rsidP="00EC07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9A2" w:rsidRPr="00044B57" w:rsidRDefault="00BB79A2" w:rsidP="00C06A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b/>
          <w:sz w:val="28"/>
          <w:szCs w:val="28"/>
        </w:rPr>
        <w:t>7. Консолидированный бюджет</w:t>
      </w:r>
    </w:p>
    <w:p w:rsidR="001540FF" w:rsidRDefault="001540FF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sz w:val="28"/>
          <w:szCs w:val="28"/>
        </w:rPr>
        <w:t>Доходы бюджета муниципального образования в 2023 году составили 488,8 млн. рублей, в том числе собственные доходы бюджета муниципального образования составили 77,8млн. рублей, из них налоговые доходы составили 65,2 млн. рублей, безвозмездные поступления в бюджет муниципального образования составили 411,1 млн. рублей.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sz w:val="28"/>
          <w:szCs w:val="28"/>
        </w:rPr>
        <w:t>Доходы бюджета муниципального образования в 2024 году составили 575,8 млн. рублей, в том числе собственные доходы бюджета муниципального образования составили 88,5 млн. рублей, из них налоговые доходы составили 82,8 млн. рублей, безвозмездные поступления в бюджет муниципального образования составили 487,3 млн. рублей.</w:t>
      </w:r>
    </w:p>
    <w:p w:rsidR="00BB79A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sz w:val="28"/>
          <w:szCs w:val="28"/>
        </w:rPr>
        <w:t>Поступление доходов в консолидированный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 муниципального  образования «Монастырщинский муниципальный округ» Смоленской области в 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2025 году оценивается в сумме 566,8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>млн. рублей, что на 9,0 млн. рублей или на 1,6 процента меньше, чем поступления за 2024 год (575,8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>млн. рублей).</w:t>
      </w:r>
    </w:p>
    <w:p w:rsidR="00C06A6B" w:rsidRDefault="00C06A6B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79A2" w:rsidRPr="00044B57" w:rsidRDefault="00BB79A2" w:rsidP="00EC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93E6CD2" wp14:editId="0AE16F30">
            <wp:simplePos x="0" y="0"/>
            <wp:positionH relativeFrom="column">
              <wp:posOffset>99060</wp:posOffset>
            </wp:positionH>
            <wp:positionV relativeFrom="paragraph">
              <wp:posOffset>360680</wp:posOffset>
            </wp:positionV>
            <wp:extent cx="6236335" cy="2613660"/>
            <wp:effectExtent l="0" t="0" r="0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0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Поступление налоговых и неналоговых доходов в консолидированный 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 муниципального образования «Монастырщинский муниципальный округ» Смоленской области в 2025 году оценивается в сумме 93,4 млн. рублей, что больше на 5,0 млн. рублей или на 5,5 процента, чем за 2024 год (88,4 млн. рублей). 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Поступления по крупным доходным источникам характеризуются следующим образом.</w:t>
      </w:r>
    </w:p>
    <w:p w:rsidR="00BB79A2" w:rsidRPr="00044B57" w:rsidRDefault="00BB79A2" w:rsidP="00EC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Поступление налога на доходы физических лиц в 2025 году ожидается в сумме 37,0 млн. рублей, с увеличением к аналогичному периоду 2024 года на 2,2 млн. рублей или на 6,3 процента. </w:t>
      </w:r>
    </w:p>
    <w:p w:rsidR="00BB79A2" w:rsidRPr="00044B57" w:rsidRDefault="00BB79A2" w:rsidP="00EC0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4B57">
        <w:rPr>
          <w:rFonts w:ascii="Times New Roman" w:eastAsia="Courier New" w:hAnsi="Times New Roman" w:cs="Times New Roman"/>
          <w:bCs/>
          <w:i/>
          <w:color w:val="000000" w:themeColor="text1"/>
          <w:sz w:val="28"/>
          <w:szCs w:val="24"/>
        </w:rPr>
        <w:tab/>
      </w:r>
      <w:r w:rsidRPr="00044B57">
        <w:rPr>
          <w:rFonts w:ascii="Times New Roman" w:eastAsia="Courier New" w:hAnsi="Times New Roman" w:cs="Times New Roman"/>
          <w:bCs/>
          <w:color w:val="000000" w:themeColor="text1"/>
          <w:sz w:val="28"/>
          <w:szCs w:val="24"/>
        </w:rPr>
        <w:t>Поступление а</w:t>
      </w: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кцизов по подакцизным товарам (продукции), производимым на территории Российской Федерации, ожидается в 2025 году в сумме 37,9 млн. рублей, с увеличением к аналогичному периоду 2024 года на 1,4 млн. рублей или на 3,8 процента.</w:t>
      </w:r>
    </w:p>
    <w:p w:rsidR="00BB79A2" w:rsidRPr="00044B57" w:rsidRDefault="00BB79A2" w:rsidP="00EC0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Поступление земельного налога в 2025 году ожидается в сумме 4,1 млн. рублей с увеличением к аналогичному периоду 2024 года на 0,4 млн. рублей или на 10,8 процента.</w:t>
      </w:r>
    </w:p>
    <w:p w:rsidR="00BB79A2" w:rsidRPr="00044B57" w:rsidRDefault="00BB79A2" w:rsidP="00EC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Основная часть налоговых поступлений обеспечена поступлением налога на доходы физических лиц, акцизов по подакцизным товарам (продукции), производимым на территории Российской Федерации, неналоговых поступлений - доходы от использования имущества, находящегося в государственной и муниципальной собственности.</w:t>
      </w:r>
    </w:p>
    <w:p w:rsidR="00BB79A2" w:rsidRPr="00044B57" w:rsidRDefault="00BB79A2" w:rsidP="00EC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прогнозном периоде 2026-2028 годов предполагается ежегодный рост налоговых и неналоговых доходов консолидированного бюджета муниципального района. На </w:t>
      </w:r>
      <w:r w:rsidRPr="00044B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2026 год рост относительно оценки за 2025 год </w:t>
      </w:r>
      <w:r w:rsidRPr="00044B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запланирован в размере 104,0 процента, на плановый период 2026 и 2028 годов в размере 104,0 процента соответственно к каждому году. Рост </w:t>
      </w: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макроэкономических показателей </w:t>
      </w:r>
      <w:r w:rsidRPr="00044B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планируется за счет прогнозируемых </w:t>
      </w: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показателей прогноза социально-экономического развития муниципального образования «Монастырщинский </w:t>
      </w:r>
      <w:r w:rsidR="00C22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Смоленской области, </w:t>
      </w:r>
      <w:r w:rsidRPr="00044B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индексации ставок акцизов на отдельные виды подакцизных товаров и поэтапного повышения нормативов отчислений акцизов на нефтепродукты</w:t>
      </w: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Большая часть налоговых поступлений, как и в предыдущие годы на 2026 - 2027  годы, будет обеспечиваться поступлениями налога на доходы физических лиц, акцизов </w:t>
      </w: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подакцизным товарам (продукции), производимым на территории Российской Федерации,</w:t>
      </w:r>
      <w:r w:rsidRPr="00044B5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единого сельскохозяйственного налога, налога, взимаемого в связи с применением упрощенной системы налогообложения, земельного налога.</w:t>
      </w:r>
    </w:p>
    <w:p w:rsidR="00BB79A2" w:rsidRPr="00044B57" w:rsidRDefault="00BB79A2" w:rsidP="00EC0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>Объем безвозмездных поступлений в 2025 году оценивается в сумме 473,4 млн. рублей и по сравнению с 2024 годом уменьшатся на 13,9 млн. рублей или на 2,9 процента.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>Сумма субсидий, получаемых из областного бюджета, составит 117,2 млн. рублей и уменьшатся по сравнению с 2024 годом на 22,5 млн. рублей или 16,1 процента.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Сумма субвенций, получаемых из областного бюджета, составит 136,3 млн. рублей, по сравнению с 2024 годом уменьшатся на 20,7 млн. рублей или 13,2 процента. 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консолидированного бюджета муниципального 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«Монастырщинский </w:t>
      </w:r>
      <w:r w:rsidR="00C220F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округ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2025 году по сравнению с 2024 годом уменьшатся на 15,1 млн. рублей или 2,5 процента. 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консолидированного бюджета муниципального 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«Монастырщинский </w:t>
      </w:r>
      <w:r w:rsidR="00C220F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округ»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>» Смоленской области</w:t>
      </w: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2025 году по сравнению с 2024 годом на общегосударственные вопросы увеличатся на 9,9 млн. рублей или 10,7 процентов.</w:t>
      </w:r>
    </w:p>
    <w:p w:rsidR="00BB79A2" w:rsidRPr="00044B57" w:rsidRDefault="00BB79A2" w:rsidP="00EC07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9A2" w:rsidRPr="00044B57" w:rsidRDefault="00BB79A2" w:rsidP="00EC07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732F13" wp14:editId="2EE1ACF1">
            <wp:simplePos x="0" y="0"/>
            <wp:positionH relativeFrom="column">
              <wp:posOffset>73025</wp:posOffset>
            </wp:positionH>
            <wp:positionV relativeFrom="paragraph">
              <wp:posOffset>343535</wp:posOffset>
            </wp:positionV>
            <wp:extent cx="6452235" cy="2828925"/>
            <wp:effectExtent l="0" t="0" r="24765" b="9525"/>
            <wp:wrapSquare wrapText="bothSides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4B57">
        <w:rPr>
          <w:rFonts w:ascii="Times New Roman" w:eastAsia="Times New Roman" w:hAnsi="Times New Roman" w:cs="Times New Roman"/>
          <w:sz w:val="28"/>
          <w:szCs w:val="28"/>
        </w:rPr>
        <w:t>Расходы консолидированного бюджета, млн. рублей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Объем расходов по разделу «Национальная экономика» в 2025 году по сравнению</w:t>
      </w:r>
      <w:r w:rsidR="00C06A6B">
        <w:rPr>
          <w:rFonts w:ascii="Times New Roman" w:eastAsia="Times New Roman" w:hAnsi="Times New Roman" w:cs="Times New Roman"/>
          <w:bCs/>
          <w:sz w:val="28"/>
          <w:szCs w:val="28"/>
        </w:rPr>
        <w:t xml:space="preserve"> с 2024 годом уменьшится </w:t>
      </w: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>на 47,8 млн. рублей или на 39,6 процентов.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>Расходы консолидированного бюджета на жилищно-коммунальное хозяйство в 2025 году увеличатся на 4,2 млн. рублей или 6,0 процентов.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 расходов консолидированного бюджета муниципального 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«Монастырщинский муниципальный округ» Смоленской области</w:t>
      </w: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социально-культурную сферу в 2025 году по сравнению с 2024 годом увеличится на 15,5 млн. рублей или 5,0 процентов.</w:t>
      </w:r>
    </w:p>
    <w:p w:rsidR="00BB79A2" w:rsidRPr="00044B57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Дефицит консолидированного бюджета муниципального 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«Монастырщинский </w:t>
      </w:r>
      <w:r w:rsidR="00C220F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округ</w:t>
      </w:r>
      <w:r w:rsidRPr="00044B57">
        <w:rPr>
          <w:rFonts w:ascii="Times New Roman" w:eastAsia="Times New Roman" w:hAnsi="Times New Roman" w:cs="Times New Roman"/>
          <w:color w:val="000000"/>
          <w:sz w:val="28"/>
          <w:szCs w:val="28"/>
        </w:rPr>
        <w:t>» Смоленской области</w:t>
      </w: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2025 году оценивается в сумме </w:t>
      </w:r>
      <w:r w:rsidR="00251FF2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Pr="00F006B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51FF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044B5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B79A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9A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202382">
        <w:rPr>
          <w:rFonts w:ascii="Times New Roman" w:eastAsia="Times New Roman" w:hAnsi="Times New Roman" w:cs="Times New Roman"/>
          <w:b/>
          <w:sz w:val="28"/>
          <w:szCs w:val="28"/>
        </w:rPr>
        <w:t>. Труд и занятость</w:t>
      </w:r>
    </w:p>
    <w:p w:rsidR="00BB79A2" w:rsidRPr="00202382" w:rsidRDefault="00BB79A2" w:rsidP="00EC0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Среднемесячная начисленная заработная плата работников организаций </w:t>
      </w:r>
      <w:r w:rsidRPr="002023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(без субъектов малого предпринимательства) 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>в 202</w:t>
      </w: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году увеличилась и сложилась на уровне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43</w:t>
      </w:r>
      <w:r w:rsidR="00972FA9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381,20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рублей. Вместе с этим фонд заработной платы работников увеличился до </w:t>
      </w:r>
      <w:r>
        <w:rPr>
          <w:rFonts w:ascii="Times New Roman" w:eastAsia="Times New Roman" w:hAnsi="Times New Roman" w:cs="Times New Roman"/>
          <w:sz w:val="28"/>
          <w:szCs w:val="20"/>
        </w:rPr>
        <w:t>566,22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млн. рублей, среднесписочная численность работников </w:t>
      </w:r>
      <w:r w:rsidRPr="00202382">
        <w:rPr>
          <w:rFonts w:ascii="Times New Roman" w:eastAsia="Times New Roman" w:hAnsi="Times New Roman" w:cs="Times New Roman"/>
          <w:color w:val="000000"/>
          <w:sz w:val="28"/>
          <w:szCs w:val="28"/>
        </w:rPr>
        <w:t>(без субъектов малого предпринимательства)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составила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956</w:t>
      </w:r>
      <w:r w:rsidRPr="002023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>. В прогнозном периоде данные показатели будут постепенно увеличиваться за счёт роста производства и повышения спроса на рабочую силу в связи с созданием рабочих мест при реализации новых инвестиционных проектов, что в результате будет способствовать снижению уровня безработицы. Так, среднемесячная заработная плата работников составит к 202</w:t>
      </w:r>
      <w:r>
        <w:rPr>
          <w:rFonts w:ascii="Times New Roman" w:eastAsia="Times New Roman" w:hAnsi="Times New Roman" w:cs="Times New Roman"/>
          <w:sz w:val="28"/>
          <w:szCs w:val="20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0"/>
        </w:rPr>
        <w:t>50749,8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рублей, фонд заработной платы увеличится до уровня </w:t>
      </w:r>
      <w:r>
        <w:rPr>
          <w:rFonts w:ascii="Times New Roman" w:eastAsia="Times New Roman" w:hAnsi="Times New Roman" w:cs="Times New Roman"/>
          <w:sz w:val="28"/>
          <w:szCs w:val="20"/>
        </w:rPr>
        <w:t>676,74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млн. рублей.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2382">
        <w:rPr>
          <w:rFonts w:ascii="Times New Roman" w:eastAsia="Times New Roman" w:hAnsi="Times New Roman" w:cs="Times New Roman"/>
          <w:sz w:val="28"/>
          <w:szCs w:val="24"/>
        </w:rPr>
        <w:t>Показатели, характеризующие ситуацию на рынке труда, в прогнозе строятся на основе данных текущего статистического учета и с учетом сложившихся тенденций за прошлые годы.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На 01.01.202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на регистрационном учете в центре занятости состояло 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, (на 01.01.202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72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На рынке труда предложение рабочей силы значительно превышает спрос.</w:t>
      </w:r>
    </w:p>
    <w:p w:rsidR="00BB79A2" w:rsidRPr="00202382" w:rsidRDefault="00BB79A2" w:rsidP="00EC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02382">
        <w:rPr>
          <w:rFonts w:ascii="Times New Roman" w:eastAsia="Times New Roman" w:hAnsi="Times New Roman" w:cs="Times New Roman"/>
          <w:sz w:val="28"/>
          <w:szCs w:val="20"/>
        </w:rPr>
        <w:t>Численность безработных, зарегистрированных в службе занятости, по оценке в 202</w:t>
      </w: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году составит 0,0</w:t>
      </w:r>
      <w:r>
        <w:rPr>
          <w:rFonts w:ascii="Times New Roman" w:eastAsia="Times New Roman" w:hAnsi="Times New Roman" w:cs="Times New Roman"/>
          <w:sz w:val="28"/>
          <w:szCs w:val="20"/>
        </w:rPr>
        <w:t>38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тыс. человек, к 202</w:t>
      </w:r>
      <w:r>
        <w:rPr>
          <w:rFonts w:ascii="Times New Roman" w:eastAsia="Times New Roman" w:hAnsi="Times New Roman" w:cs="Times New Roman"/>
          <w:sz w:val="28"/>
          <w:szCs w:val="20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году 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0,</w:t>
      </w:r>
      <w:r>
        <w:rPr>
          <w:rFonts w:ascii="Times New Roman" w:eastAsia="Times New Roman" w:hAnsi="Times New Roman" w:cs="Times New Roman"/>
          <w:sz w:val="28"/>
          <w:szCs w:val="20"/>
        </w:rPr>
        <w:t>032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тыс. человек.</w:t>
      </w:r>
      <w:r w:rsidRPr="00202382">
        <w:rPr>
          <w:rFonts w:ascii="Times New Roman" w:eastAsia="Times New Roman" w:hAnsi="Times New Roman" w:cs="Times New Roman"/>
          <w:color w:val="FF0000"/>
          <w:sz w:val="28"/>
          <w:szCs w:val="20"/>
        </w:rPr>
        <w:t xml:space="preserve"> 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Уровень регистрируемой безработицы, в среднем по </w:t>
      </w:r>
      <w:r>
        <w:rPr>
          <w:rFonts w:ascii="Times New Roman" w:eastAsia="Times New Roman" w:hAnsi="Times New Roman" w:cs="Times New Roman"/>
          <w:sz w:val="28"/>
          <w:szCs w:val="20"/>
        </w:rPr>
        <w:t>округу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>, в 202</w:t>
      </w: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году по оценке составит </w:t>
      </w:r>
      <w:r>
        <w:rPr>
          <w:rFonts w:ascii="Times New Roman" w:eastAsia="Times New Roman" w:hAnsi="Times New Roman" w:cs="Times New Roman"/>
          <w:sz w:val="28"/>
          <w:szCs w:val="20"/>
        </w:rPr>
        <w:t>0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>82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%. В прогнозном периоде данный показатель будет снижаться и к 202</w:t>
      </w:r>
      <w:r>
        <w:rPr>
          <w:rFonts w:ascii="Times New Roman" w:eastAsia="Times New Roman" w:hAnsi="Times New Roman" w:cs="Times New Roman"/>
          <w:sz w:val="28"/>
          <w:szCs w:val="20"/>
        </w:rPr>
        <w:t>8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году сложится на уровне </w:t>
      </w:r>
      <w:r>
        <w:rPr>
          <w:rFonts w:ascii="Times New Roman" w:eastAsia="Times New Roman" w:hAnsi="Times New Roman" w:cs="Times New Roman"/>
          <w:sz w:val="28"/>
          <w:szCs w:val="20"/>
        </w:rPr>
        <w:t>0,69</w:t>
      </w:r>
      <w:r w:rsidRPr="00202382">
        <w:rPr>
          <w:rFonts w:ascii="Times New Roman" w:eastAsia="Times New Roman" w:hAnsi="Times New Roman" w:cs="Times New Roman"/>
          <w:sz w:val="28"/>
          <w:szCs w:val="20"/>
        </w:rPr>
        <w:t xml:space="preserve"> % экономически активного населения. </w:t>
      </w:r>
    </w:p>
    <w:p w:rsidR="00BB79A2" w:rsidRPr="00202382" w:rsidRDefault="00BB79A2" w:rsidP="00EC07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382">
        <w:rPr>
          <w:rFonts w:ascii="Times New Roman" w:eastAsia="Times New Roman" w:hAnsi="Times New Roman" w:cs="Times New Roman"/>
          <w:sz w:val="28"/>
          <w:szCs w:val="28"/>
        </w:rPr>
        <w:t>С 01.01.202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по 31.12.202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года оказано содействие в поиске подходящей работы 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02382">
        <w:rPr>
          <w:rFonts w:ascii="Times New Roman" w:eastAsia="Times New Roman" w:hAnsi="Times New Roman" w:cs="Times New Roman"/>
          <w:sz w:val="28"/>
          <w:szCs w:val="28"/>
        </w:rPr>
        <w:t xml:space="preserve"> гражданам:</w:t>
      </w:r>
      <w:r w:rsidRPr="00202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них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202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граждан предпенсионного возраста;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202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0238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несовершеннолетних гражда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ни</w:t>
      </w:r>
      <w:r w:rsidRPr="00202382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202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14 до 18 лет в свободное от учебы время;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101</w:t>
      </w:r>
      <w:r w:rsidRPr="00202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гражданин трудоустроен на постоянную работу, из них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37</w:t>
      </w:r>
      <w:r w:rsidRPr="002023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человек по направлению центра занятости.</w:t>
      </w:r>
    </w:p>
    <w:p w:rsidR="00F428D0" w:rsidRDefault="00F428D0" w:rsidP="00EC0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sectPr w:rsidR="00F428D0" w:rsidSect="00972FA9">
      <w:headerReference w:type="default" r:id="rId17"/>
      <w:pgSz w:w="12240" w:h="15840"/>
      <w:pgMar w:top="568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43" w:rsidRDefault="00113243" w:rsidP="005546DA">
      <w:pPr>
        <w:spacing w:after="0" w:line="240" w:lineRule="auto"/>
      </w:pPr>
      <w:r>
        <w:separator/>
      </w:r>
    </w:p>
  </w:endnote>
  <w:endnote w:type="continuationSeparator" w:id="0">
    <w:p w:rsidR="00113243" w:rsidRDefault="00113243" w:rsidP="0055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43" w:rsidRDefault="00113243" w:rsidP="005546DA">
      <w:pPr>
        <w:spacing w:after="0" w:line="240" w:lineRule="auto"/>
      </w:pPr>
      <w:r>
        <w:separator/>
      </w:r>
    </w:p>
  </w:footnote>
  <w:footnote w:type="continuationSeparator" w:id="0">
    <w:p w:rsidR="00113243" w:rsidRDefault="00113243" w:rsidP="0055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177758"/>
      <w:docPartObj>
        <w:docPartGallery w:val="Page Numbers (Top of Page)"/>
        <w:docPartUnique/>
      </w:docPartObj>
    </w:sdtPr>
    <w:sdtEndPr/>
    <w:sdtContent>
      <w:p w:rsidR="00C8213F" w:rsidRDefault="00C821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90D">
          <w:rPr>
            <w:noProof/>
          </w:rPr>
          <w:t>2</w:t>
        </w:r>
        <w:r>
          <w:fldChar w:fldCharType="end"/>
        </w:r>
      </w:p>
    </w:sdtContent>
  </w:sdt>
  <w:p w:rsidR="00C8213F" w:rsidRDefault="00C821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7BA"/>
    <w:multiLevelType w:val="hybridMultilevel"/>
    <w:tmpl w:val="B5C00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034873"/>
    <w:multiLevelType w:val="hybridMultilevel"/>
    <w:tmpl w:val="F15ABE02"/>
    <w:lvl w:ilvl="0" w:tplc="703E859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0D255D"/>
    <w:multiLevelType w:val="hybridMultilevel"/>
    <w:tmpl w:val="9FD63F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8D06BC2"/>
    <w:multiLevelType w:val="hybridMultilevel"/>
    <w:tmpl w:val="E99A3A7E"/>
    <w:lvl w:ilvl="0" w:tplc="6AB2A1AC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49"/>
    <w:rsid w:val="0001231A"/>
    <w:rsid w:val="0001606B"/>
    <w:rsid w:val="00016FA9"/>
    <w:rsid w:val="000301A5"/>
    <w:rsid w:val="000533CB"/>
    <w:rsid w:val="000702F0"/>
    <w:rsid w:val="00070F25"/>
    <w:rsid w:val="000754F6"/>
    <w:rsid w:val="00080294"/>
    <w:rsid w:val="0009013E"/>
    <w:rsid w:val="00092528"/>
    <w:rsid w:val="0009613A"/>
    <w:rsid w:val="000B00BD"/>
    <w:rsid w:val="000C314A"/>
    <w:rsid w:val="000C4700"/>
    <w:rsid w:val="000C7109"/>
    <w:rsid w:val="000D014E"/>
    <w:rsid w:val="000E54A3"/>
    <w:rsid w:val="00102A22"/>
    <w:rsid w:val="00113243"/>
    <w:rsid w:val="001142A0"/>
    <w:rsid w:val="0011781F"/>
    <w:rsid w:val="001540FF"/>
    <w:rsid w:val="00176553"/>
    <w:rsid w:val="00195DEB"/>
    <w:rsid w:val="001B561A"/>
    <w:rsid w:val="001C4573"/>
    <w:rsid w:val="001E5AAF"/>
    <w:rsid w:val="001E6E1B"/>
    <w:rsid w:val="00214DD8"/>
    <w:rsid w:val="0022561A"/>
    <w:rsid w:val="00251FF2"/>
    <w:rsid w:val="002567BE"/>
    <w:rsid w:val="002938CE"/>
    <w:rsid w:val="002952E7"/>
    <w:rsid w:val="002A1998"/>
    <w:rsid w:val="002C2F51"/>
    <w:rsid w:val="002D252E"/>
    <w:rsid w:val="002D4E1E"/>
    <w:rsid w:val="002E1F71"/>
    <w:rsid w:val="002E7AA1"/>
    <w:rsid w:val="002F4A12"/>
    <w:rsid w:val="00303DE3"/>
    <w:rsid w:val="00321B25"/>
    <w:rsid w:val="00321B92"/>
    <w:rsid w:val="00322172"/>
    <w:rsid w:val="00332B3B"/>
    <w:rsid w:val="00334F4F"/>
    <w:rsid w:val="003407D1"/>
    <w:rsid w:val="00347209"/>
    <w:rsid w:val="003534CE"/>
    <w:rsid w:val="003547EF"/>
    <w:rsid w:val="00356A99"/>
    <w:rsid w:val="00366B65"/>
    <w:rsid w:val="00383472"/>
    <w:rsid w:val="003B1C8E"/>
    <w:rsid w:val="003B70AC"/>
    <w:rsid w:val="003D3038"/>
    <w:rsid w:val="003D32C5"/>
    <w:rsid w:val="003D52B8"/>
    <w:rsid w:val="003E7909"/>
    <w:rsid w:val="003F62C9"/>
    <w:rsid w:val="00401C22"/>
    <w:rsid w:val="0040341C"/>
    <w:rsid w:val="004062F9"/>
    <w:rsid w:val="00420C7E"/>
    <w:rsid w:val="00443F51"/>
    <w:rsid w:val="004508A4"/>
    <w:rsid w:val="004842F4"/>
    <w:rsid w:val="00487D77"/>
    <w:rsid w:val="004B0A0E"/>
    <w:rsid w:val="004C1A77"/>
    <w:rsid w:val="004E1FCA"/>
    <w:rsid w:val="004F5921"/>
    <w:rsid w:val="00501B20"/>
    <w:rsid w:val="00502B9A"/>
    <w:rsid w:val="005449AF"/>
    <w:rsid w:val="005546DA"/>
    <w:rsid w:val="00560FFB"/>
    <w:rsid w:val="005704F3"/>
    <w:rsid w:val="005733EE"/>
    <w:rsid w:val="005B6A9B"/>
    <w:rsid w:val="005C4579"/>
    <w:rsid w:val="005E0DF8"/>
    <w:rsid w:val="005E490D"/>
    <w:rsid w:val="005F2199"/>
    <w:rsid w:val="0060698F"/>
    <w:rsid w:val="00615F1B"/>
    <w:rsid w:val="00622E1F"/>
    <w:rsid w:val="00645DB8"/>
    <w:rsid w:val="0065728D"/>
    <w:rsid w:val="006622AB"/>
    <w:rsid w:val="00687ED3"/>
    <w:rsid w:val="00694E1B"/>
    <w:rsid w:val="00696572"/>
    <w:rsid w:val="006A6682"/>
    <w:rsid w:val="006D6D87"/>
    <w:rsid w:val="007059CD"/>
    <w:rsid w:val="007225CC"/>
    <w:rsid w:val="0075161C"/>
    <w:rsid w:val="007607D5"/>
    <w:rsid w:val="00770365"/>
    <w:rsid w:val="007A3C85"/>
    <w:rsid w:val="007B3D6B"/>
    <w:rsid w:val="007B6046"/>
    <w:rsid w:val="007B69A9"/>
    <w:rsid w:val="007C73BC"/>
    <w:rsid w:val="007D2E18"/>
    <w:rsid w:val="007D7D47"/>
    <w:rsid w:val="007F17AE"/>
    <w:rsid w:val="00813541"/>
    <w:rsid w:val="0083180B"/>
    <w:rsid w:val="008471AA"/>
    <w:rsid w:val="00850229"/>
    <w:rsid w:val="00876206"/>
    <w:rsid w:val="00890455"/>
    <w:rsid w:val="00895F4A"/>
    <w:rsid w:val="008A520B"/>
    <w:rsid w:val="008C08C4"/>
    <w:rsid w:val="008C496D"/>
    <w:rsid w:val="008E15A4"/>
    <w:rsid w:val="008E3EF6"/>
    <w:rsid w:val="008F0A16"/>
    <w:rsid w:val="008F44D1"/>
    <w:rsid w:val="00904217"/>
    <w:rsid w:val="00905EDF"/>
    <w:rsid w:val="00910F70"/>
    <w:rsid w:val="00925D33"/>
    <w:rsid w:val="009356F5"/>
    <w:rsid w:val="00937238"/>
    <w:rsid w:val="009465A0"/>
    <w:rsid w:val="00953DC9"/>
    <w:rsid w:val="00956C2C"/>
    <w:rsid w:val="00972FA9"/>
    <w:rsid w:val="00983B44"/>
    <w:rsid w:val="009969D2"/>
    <w:rsid w:val="009A2360"/>
    <w:rsid w:val="009A285D"/>
    <w:rsid w:val="009A3A34"/>
    <w:rsid w:val="009A3FC8"/>
    <w:rsid w:val="009C6C7B"/>
    <w:rsid w:val="009D3852"/>
    <w:rsid w:val="009E185C"/>
    <w:rsid w:val="00A138C7"/>
    <w:rsid w:val="00A20DF7"/>
    <w:rsid w:val="00A22339"/>
    <w:rsid w:val="00A341D6"/>
    <w:rsid w:val="00A34DAC"/>
    <w:rsid w:val="00A46871"/>
    <w:rsid w:val="00A64BCD"/>
    <w:rsid w:val="00A717EE"/>
    <w:rsid w:val="00A7395E"/>
    <w:rsid w:val="00A81657"/>
    <w:rsid w:val="00A9621B"/>
    <w:rsid w:val="00AC423A"/>
    <w:rsid w:val="00AC6768"/>
    <w:rsid w:val="00AD367A"/>
    <w:rsid w:val="00AF0D56"/>
    <w:rsid w:val="00B1700C"/>
    <w:rsid w:val="00B25ED3"/>
    <w:rsid w:val="00B265ED"/>
    <w:rsid w:val="00B26E34"/>
    <w:rsid w:val="00B41676"/>
    <w:rsid w:val="00B5427F"/>
    <w:rsid w:val="00B6126C"/>
    <w:rsid w:val="00B730E5"/>
    <w:rsid w:val="00B87177"/>
    <w:rsid w:val="00B91DFC"/>
    <w:rsid w:val="00B96300"/>
    <w:rsid w:val="00BA5AEA"/>
    <w:rsid w:val="00BA5C69"/>
    <w:rsid w:val="00BB38BA"/>
    <w:rsid w:val="00BB79A2"/>
    <w:rsid w:val="00BC2C63"/>
    <w:rsid w:val="00BC4777"/>
    <w:rsid w:val="00BD09C4"/>
    <w:rsid w:val="00BD34F5"/>
    <w:rsid w:val="00BD75F5"/>
    <w:rsid w:val="00BE0342"/>
    <w:rsid w:val="00BE5095"/>
    <w:rsid w:val="00BF69EB"/>
    <w:rsid w:val="00C06A6B"/>
    <w:rsid w:val="00C20A5B"/>
    <w:rsid w:val="00C220F7"/>
    <w:rsid w:val="00C37698"/>
    <w:rsid w:val="00C46165"/>
    <w:rsid w:val="00C52D83"/>
    <w:rsid w:val="00C60015"/>
    <w:rsid w:val="00C6286E"/>
    <w:rsid w:val="00C75EA8"/>
    <w:rsid w:val="00C8213F"/>
    <w:rsid w:val="00C91460"/>
    <w:rsid w:val="00C94274"/>
    <w:rsid w:val="00C974EF"/>
    <w:rsid w:val="00CA5C25"/>
    <w:rsid w:val="00CA732B"/>
    <w:rsid w:val="00CB0FCE"/>
    <w:rsid w:val="00CB12C9"/>
    <w:rsid w:val="00CC226A"/>
    <w:rsid w:val="00CE090C"/>
    <w:rsid w:val="00CE1889"/>
    <w:rsid w:val="00CE3312"/>
    <w:rsid w:val="00D17485"/>
    <w:rsid w:val="00D32333"/>
    <w:rsid w:val="00D32841"/>
    <w:rsid w:val="00D346BE"/>
    <w:rsid w:val="00D42429"/>
    <w:rsid w:val="00D70A66"/>
    <w:rsid w:val="00D72404"/>
    <w:rsid w:val="00D76C4D"/>
    <w:rsid w:val="00D93AD4"/>
    <w:rsid w:val="00DA5AD2"/>
    <w:rsid w:val="00DE5804"/>
    <w:rsid w:val="00DF6ADE"/>
    <w:rsid w:val="00E06CF7"/>
    <w:rsid w:val="00E073F5"/>
    <w:rsid w:val="00E11550"/>
    <w:rsid w:val="00E36AD7"/>
    <w:rsid w:val="00E83014"/>
    <w:rsid w:val="00E84751"/>
    <w:rsid w:val="00E8594C"/>
    <w:rsid w:val="00EA4C91"/>
    <w:rsid w:val="00EC0745"/>
    <w:rsid w:val="00EC4DF9"/>
    <w:rsid w:val="00EC5617"/>
    <w:rsid w:val="00EE1FDB"/>
    <w:rsid w:val="00F02268"/>
    <w:rsid w:val="00F207B5"/>
    <w:rsid w:val="00F332E6"/>
    <w:rsid w:val="00F428D0"/>
    <w:rsid w:val="00F428F8"/>
    <w:rsid w:val="00F5093C"/>
    <w:rsid w:val="00F535C2"/>
    <w:rsid w:val="00F54014"/>
    <w:rsid w:val="00F6063A"/>
    <w:rsid w:val="00F6306D"/>
    <w:rsid w:val="00F8133A"/>
    <w:rsid w:val="00F87535"/>
    <w:rsid w:val="00F925BF"/>
    <w:rsid w:val="00FA3744"/>
    <w:rsid w:val="00FA6770"/>
    <w:rsid w:val="00FB761F"/>
    <w:rsid w:val="00FC00A4"/>
    <w:rsid w:val="00FD4949"/>
    <w:rsid w:val="00FD5FA1"/>
    <w:rsid w:val="00FD7EBF"/>
    <w:rsid w:val="00FF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FD4949"/>
    <w:pPr>
      <w:keepNext/>
      <w:tabs>
        <w:tab w:val="left" w:pos="30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D49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2F0"/>
    <w:pPr>
      <w:ind w:left="720"/>
      <w:contextualSpacing/>
    </w:pPr>
  </w:style>
  <w:style w:type="paragraph" w:styleId="a6">
    <w:name w:val="No Spacing"/>
    <w:uiPriority w:val="1"/>
    <w:qFormat/>
    <w:rsid w:val="00EC5617"/>
    <w:pPr>
      <w:spacing w:after="0" w:line="240" w:lineRule="auto"/>
    </w:pPr>
  </w:style>
  <w:style w:type="table" w:styleId="a7">
    <w:name w:val="Table Grid"/>
    <w:basedOn w:val="a1"/>
    <w:uiPriority w:val="59"/>
    <w:rsid w:val="00214DD8"/>
    <w:pPr>
      <w:spacing w:after="0" w:line="240" w:lineRule="auto"/>
      <w:ind w:firstLine="709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214DD8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FontStyle58">
    <w:name w:val="Font Style58"/>
    <w:uiPriority w:val="99"/>
    <w:rsid w:val="00214DD8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46DA"/>
  </w:style>
  <w:style w:type="paragraph" w:styleId="aa">
    <w:name w:val="footer"/>
    <w:basedOn w:val="a"/>
    <w:link w:val="ab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4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FD4949"/>
    <w:pPr>
      <w:keepNext/>
      <w:tabs>
        <w:tab w:val="left" w:pos="30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D49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2F0"/>
    <w:pPr>
      <w:ind w:left="720"/>
      <w:contextualSpacing/>
    </w:pPr>
  </w:style>
  <w:style w:type="paragraph" w:styleId="a6">
    <w:name w:val="No Spacing"/>
    <w:uiPriority w:val="1"/>
    <w:qFormat/>
    <w:rsid w:val="00EC5617"/>
    <w:pPr>
      <w:spacing w:after="0" w:line="240" w:lineRule="auto"/>
    </w:pPr>
  </w:style>
  <w:style w:type="table" w:styleId="a7">
    <w:name w:val="Table Grid"/>
    <w:basedOn w:val="a1"/>
    <w:uiPriority w:val="59"/>
    <w:rsid w:val="00214DD8"/>
    <w:pPr>
      <w:spacing w:after="0" w:line="240" w:lineRule="auto"/>
      <w:ind w:firstLine="709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214DD8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FontStyle58">
    <w:name w:val="Font Style58"/>
    <w:uiPriority w:val="99"/>
    <w:rsid w:val="00214DD8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46DA"/>
  </w:style>
  <w:style w:type="paragraph" w:styleId="aa">
    <w:name w:val="footer"/>
    <w:basedOn w:val="a"/>
    <w:link w:val="ab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4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1974012993503245E-2"/>
          <c:y val="8.3333333333333329E-2"/>
          <c:w val="0.71734400516277297"/>
          <c:h val="0.7738024934383200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Коэффициент рождаемости, чел.</c:v>
                </c:pt>
              </c:strCache>
            </c:strRef>
          </c:tx>
          <c:dLbls>
            <c:dLbl>
              <c:idx val="0"/>
              <c:layout>
                <c:manualLayout>
                  <c:x val="-3.2840722495895709E-2"/>
                  <c:y val="0.115941458404656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598255990115185E-2"/>
                  <c:y val="5.9782234251968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7219500485977608E-2"/>
                  <c:y val="5.5706610892388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2840744981839844E-2"/>
                  <c:y val="6.2952755905511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503004403310158E-2"/>
                  <c:y val="6.1820456036745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3988005997001478E-2"/>
                  <c:y val="6.2952755905511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989005497251416E-2"/>
                  <c:y val="6.2500000000000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3988005997001478E-2"/>
                  <c:y val="7.8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1989005497251416E-2"/>
                  <c:y val="9.3750000000000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  <c:pt idx="4">
                  <c:v>2027</c:v>
                </c:pt>
                <c:pt idx="5">
                  <c:v>2028</c:v>
                </c:pt>
              </c:numCache>
            </c:numRef>
          </c:cat>
          <c:val>
            <c:numRef>
              <c:f>Лист1!$B$2:$B$8</c:f>
              <c:numCache>
                <c:formatCode>0.00</c:formatCode>
                <c:ptCount val="7"/>
                <c:pt idx="0">
                  <c:v>5.4</c:v>
                </c:pt>
                <c:pt idx="1">
                  <c:v>6</c:v>
                </c:pt>
                <c:pt idx="2">
                  <c:v>6.5</c:v>
                </c:pt>
                <c:pt idx="3">
                  <c:v>5</c:v>
                </c:pt>
                <c:pt idx="4">
                  <c:v>5.5</c:v>
                </c:pt>
                <c:pt idx="5">
                  <c:v>5.9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Коэффициент смертности, чел.</c:v>
                </c:pt>
              </c:strCache>
            </c:strRef>
          </c:tx>
          <c:dLbls>
            <c:dLbl>
              <c:idx val="0"/>
              <c:layout>
                <c:manualLayout>
                  <c:x val="-2.1893814997264094E-3"/>
                  <c:y val="-6.5217391304349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9.4202898550725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704433497537546E-2"/>
                  <c:y val="-7.9710144927539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1893814997264033E-2"/>
                  <c:y val="-9.4202898550725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704433497537546E-2"/>
                  <c:y val="-7.9710144927539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199400299850076E-2"/>
                  <c:y val="-9.4202898550725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8.3333333333333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7.8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7.8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  <c:pt idx="4">
                  <c:v>2027</c:v>
                </c:pt>
                <c:pt idx="5">
                  <c:v>2028</c:v>
                </c:pt>
              </c:numCache>
            </c:numRef>
          </c:cat>
          <c:val>
            <c:numRef>
              <c:f>Лист1!$C$2:$C$8</c:f>
              <c:numCache>
                <c:formatCode>0.00</c:formatCode>
                <c:ptCount val="7"/>
                <c:pt idx="0">
                  <c:v>21.9</c:v>
                </c:pt>
                <c:pt idx="1">
                  <c:v>25.6</c:v>
                </c:pt>
                <c:pt idx="2">
                  <c:v>22.4</c:v>
                </c:pt>
                <c:pt idx="3">
                  <c:v>22</c:v>
                </c:pt>
                <c:pt idx="4">
                  <c:v>21.5</c:v>
                </c:pt>
                <c:pt idx="5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716352"/>
        <c:axId val="147218432"/>
      </c:lineChart>
      <c:catAx>
        <c:axId val="147716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218432"/>
        <c:crosses val="autoZero"/>
        <c:auto val="1"/>
        <c:lblAlgn val="ctr"/>
        <c:lblOffset val="100"/>
        <c:noMultiLvlLbl val="0"/>
      </c:catAx>
      <c:valAx>
        <c:axId val="147218432"/>
        <c:scaling>
          <c:orientation val="minMax"/>
        </c:scaling>
        <c:delete val="1"/>
        <c:axPos val="l"/>
        <c:majorGridlines/>
        <c:numFmt formatCode="0.00" sourceLinked="1"/>
        <c:majorTickMark val="out"/>
        <c:minorTickMark val="none"/>
        <c:tickLblPos val="none"/>
        <c:crossAx val="147716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333331233278976"/>
          <c:y val="0.30065985892388453"/>
          <c:w val="0.26666668766721024"/>
          <c:h val="0.33620956262608676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естественной убыли населения,человек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128735632183994"/>
          <c:y val="2.38094990601422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602320464092819"/>
          <c:y val="0.39830508474576271"/>
          <c:w val="0.75396083377618228"/>
          <c:h val="0.4417418757507006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5.4008148000910999E-2"/>
                  <c:y val="-0.119566337420693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4008148000911006E-2"/>
                  <c:y val="-0.113484517833747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400396154254449E-2"/>
                  <c:y val="-0.117887293362577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6005680857048988E-2"/>
                  <c:y val="-0.123249654070922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0004866875979083E-2"/>
                  <c:y val="-0.124208779238367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7995587365778962E-2"/>
                  <c:y val="-0.117886833350507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6006940889664928E-2"/>
                  <c:y val="-0.116843065962050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2007846223099487E-2"/>
                  <c:y val="-0.105158759365845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8005733778418857E-2"/>
                  <c:y val="-0.105158759365845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  <c:pt idx="4">
                  <c:v>2027</c:v>
                </c:pt>
                <c:pt idx="5">
                  <c:v>2028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138</c:v>
                </c:pt>
                <c:pt idx="1">
                  <c:v>153</c:v>
                </c:pt>
                <c:pt idx="2">
                  <c:v>140</c:v>
                </c:pt>
                <c:pt idx="3">
                  <c:v>125</c:v>
                </c:pt>
                <c:pt idx="4">
                  <c:v>125</c:v>
                </c:pt>
                <c:pt idx="5">
                  <c:v>125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247104"/>
        <c:axId val="147248640"/>
      </c:lineChart>
      <c:catAx>
        <c:axId val="147247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7248640"/>
        <c:crosses val="autoZero"/>
        <c:auto val="1"/>
        <c:lblAlgn val="ctr"/>
        <c:lblOffset val="100"/>
        <c:noMultiLvlLbl val="0"/>
      </c:catAx>
      <c:valAx>
        <c:axId val="14724864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472471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продукции сельского хозяйства,  млн.рублей</a:t>
            </a:r>
          </a:p>
        </c:rich>
      </c:tx>
      <c:overlay val="0"/>
    </c:title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697092799705768E-2"/>
          <c:y val="0.25841407241313374"/>
          <c:w val="0.8588571810689265"/>
          <c:h val="0.545827888535209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6"/>
                <c:pt idx="0">
                  <c:v>2023            отчет</c:v>
                </c:pt>
                <c:pt idx="1">
                  <c:v>2024   отчет</c:v>
                </c:pt>
                <c:pt idx="2">
                  <c:v>2025   оценка</c:v>
                </c:pt>
                <c:pt idx="3">
                  <c:v>2026 прогноз</c:v>
                </c:pt>
                <c:pt idx="4">
                  <c:v>2027 прогноз</c:v>
                </c:pt>
                <c:pt idx="5">
                  <c:v>2028 прогноз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1204.9000000000001</c:v>
                </c:pt>
                <c:pt idx="1">
                  <c:v>1285.5</c:v>
                </c:pt>
                <c:pt idx="2">
                  <c:v>1388.5</c:v>
                </c:pt>
                <c:pt idx="3">
                  <c:v>1426.3</c:v>
                </c:pt>
                <c:pt idx="4">
                  <c:v>1495.4</c:v>
                </c:pt>
                <c:pt idx="5">
                  <c:v>1570.6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8113280"/>
        <c:axId val="148114816"/>
        <c:axId val="0"/>
      </c:bar3DChart>
      <c:catAx>
        <c:axId val="1481132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 baseline="0">
                <a:latin typeface="Times New Roman" panose="02020603050405020304" pitchFamily="18" charset="0"/>
              </a:defRPr>
            </a:pPr>
            <a:endParaRPr lang="ru-RU"/>
          </a:p>
        </c:txPr>
        <c:crossAx val="148114816"/>
        <c:crosses val="autoZero"/>
        <c:auto val="1"/>
        <c:lblAlgn val="ctr"/>
        <c:lblOffset val="100"/>
        <c:noMultiLvlLbl val="0"/>
      </c:catAx>
      <c:valAx>
        <c:axId val="148114816"/>
        <c:scaling>
          <c:orientation val="minMax"/>
        </c:scaling>
        <c:delete val="1"/>
        <c:axPos val="l"/>
        <c:majorGridlines/>
        <c:numFmt formatCode="0.0" sourceLinked="1"/>
        <c:majorTickMark val="none"/>
        <c:minorTickMark val="none"/>
        <c:tickLblPos val="none"/>
        <c:crossAx val="148113280"/>
        <c:crosses val="autoZero"/>
        <c:crossBetween val="between"/>
      </c:valAx>
    </c:plotArea>
    <c:plotVisOnly val="1"/>
    <c:dispBlanksAs val="gap"/>
    <c:showDLblsOverMax val="0"/>
  </c:chart>
  <c:spPr>
    <a:ln w="0"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оборота розничной торговли, млн. рублей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0106279268282954"/>
          <c:w val="0.99335446221124368"/>
          <c:h val="0.6018906070476129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оборота розничной торговли, млн.рублей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972386587771203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1268,6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1317,4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 algn="just"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7"/>
                <c:pt idx="1">
                  <c:v>2023      отчет</c:v>
                </c:pt>
                <c:pt idx="2">
                  <c:v>2024    отчет</c:v>
                </c:pt>
                <c:pt idx="3">
                  <c:v>2025 оценка</c:v>
                </c:pt>
                <c:pt idx="4">
                  <c:v>2026    прогноз</c:v>
                </c:pt>
                <c:pt idx="5">
                  <c:v>2027 прогноз</c:v>
                </c:pt>
                <c:pt idx="6">
                  <c:v>2028 прогноз</c:v>
                </c:pt>
              </c:strCache>
            </c:strRef>
          </c:cat>
          <c:val>
            <c:numRef>
              <c:f>Лист1!$B$2:$B$9</c:f>
              <c:numCache>
                <c:formatCode>0.00</c:formatCode>
                <c:ptCount val="8"/>
                <c:pt idx="1">
                  <c:v>1268.5999999999999</c:v>
                </c:pt>
                <c:pt idx="2">
                  <c:v>1317.4</c:v>
                </c:pt>
                <c:pt idx="3">
                  <c:v>1486.04</c:v>
                </c:pt>
                <c:pt idx="4" formatCode="General">
                  <c:v>1618.07</c:v>
                </c:pt>
                <c:pt idx="5" formatCode="General">
                  <c:v>1646.7</c:v>
                </c:pt>
                <c:pt idx="6" formatCode="General">
                  <c:v>1885.64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pyramid"/>
        <c:axId val="148137856"/>
        <c:axId val="148141568"/>
        <c:axId val="146303616"/>
      </c:bar3DChart>
      <c:catAx>
        <c:axId val="1481378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141568"/>
        <c:crosses val="autoZero"/>
        <c:auto val="1"/>
        <c:lblAlgn val="ctr"/>
        <c:lblOffset val="100"/>
        <c:noMultiLvlLbl val="0"/>
      </c:catAx>
      <c:valAx>
        <c:axId val="148141568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one"/>
        <c:crossAx val="148137856"/>
        <c:crosses val="autoZero"/>
        <c:crossBetween val="between"/>
      </c:valAx>
      <c:serAx>
        <c:axId val="146303616"/>
        <c:scaling>
          <c:orientation val="minMax"/>
        </c:scaling>
        <c:delete val="1"/>
        <c:axPos val="b"/>
        <c:majorTickMark val="out"/>
        <c:minorTickMark val="none"/>
        <c:tickLblPos val="nextTo"/>
        <c:crossAx val="148141568"/>
        <c:crosses val="autoZero"/>
      </c:serAx>
      <c:spPr>
        <a:noFill/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98313420601605E-2"/>
          <c:y val="2.2676396085520713E-2"/>
          <c:w val="0.79299196787148662"/>
          <c:h val="0.5937212210889746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инвестиций в основной, млн.руб.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6241715024498666E-7"/>
                  <c:y val="3.9433328745858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096450483121789E-3"/>
                  <c:y val="5.376121799208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6244742858609703E-7"/>
                  <c:y val="8.6410042254836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025120348775878E-3"/>
                  <c:y val="5.7458808185043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2064300322081187E-3"/>
                  <c:y val="9.8536136591173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9681286268374005E-7"/>
                  <c:y val="0.109236564536292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0.16607385709802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0.16607385709802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2063489040556658E-3"/>
                  <c:y val="0.175050822346564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6"/>
                <c:pt idx="0">
                  <c:v>2023 отчет</c:v>
                </c:pt>
                <c:pt idx="1">
                  <c:v>2024  отчет</c:v>
                </c:pt>
                <c:pt idx="2">
                  <c:v>2025 оценка</c:v>
                </c:pt>
                <c:pt idx="3">
                  <c:v>2026    прогноз</c:v>
                </c:pt>
                <c:pt idx="4">
                  <c:v>2027 прогноз</c:v>
                </c:pt>
                <c:pt idx="5">
                  <c:v>2028 прогноз</c:v>
                </c:pt>
              </c:strCache>
            </c:strRef>
          </c:cat>
          <c:val>
            <c:numRef>
              <c:f>Лист1!$B$2:$B$9</c:f>
              <c:numCache>
                <c:formatCode>0.00</c:formatCode>
                <c:ptCount val="8"/>
                <c:pt idx="0">
                  <c:v>113.7</c:v>
                </c:pt>
                <c:pt idx="1">
                  <c:v>118.7</c:v>
                </c:pt>
                <c:pt idx="2">
                  <c:v>145.69999999999999</c:v>
                </c:pt>
                <c:pt idx="3">
                  <c:v>130.6</c:v>
                </c:pt>
                <c:pt idx="4">
                  <c:v>123</c:v>
                </c:pt>
                <c:pt idx="5">
                  <c:v>117.4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48509824"/>
        <c:axId val="14851136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Темп роста, %</c:v>
                </c:pt>
              </c:strCache>
            </c:strRef>
          </c:tx>
          <c:dLbls>
            <c:dLbl>
              <c:idx val="0"/>
              <c:layout>
                <c:manualLayout>
                  <c:x val="-4.4163872260446942E-2"/>
                  <c:y val="-0.218785074546094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-5.2577539653532644E-2"/>
                  <c:y val="-0.297176065908002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3594724161057155E-2"/>
                  <c:y val="-0.199243084305183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6470768441011119E-2"/>
                  <c:y val="-9.3327200079371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9143628339832914E-2"/>
                  <c:y val="-0.139066482669047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4166663492584565E-2"/>
                  <c:y val="-7.6304204612605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8373012396640151E-2"/>
                  <c:y val="-7.1815721988334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8373012396640151E-2"/>
                  <c:y val="-7.1815721988334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6"/>
                <c:pt idx="0">
                  <c:v>2023 отчет</c:v>
                </c:pt>
                <c:pt idx="1">
                  <c:v>2024  отчет</c:v>
                </c:pt>
                <c:pt idx="2">
                  <c:v>2025 оценка</c:v>
                </c:pt>
                <c:pt idx="3">
                  <c:v>2026    прогноз</c:v>
                </c:pt>
                <c:pt idx="4">
                  <c:v>2027 прогноз</c:v>
                </c:pt>
                <c:pt idx="5">
                  <c:v>2028 прогноз</c:v>
                </c:pt>
              </c:strCache>
            </c:strRef>
          </c:cat>
          <c:val>
            <c:numRef>
              <c:f>Лист1!$C$2:$C$9</c:f>
              <c:numCache>
                <c:formatCode>0.00</c:formatCode>
                <c:ptCount val="8"/>
                <c:pt idx="0" formatCode="General">
                  <c:v>27.57</c:v>
                </c:pt>
                <c:pt idx="1">
                  <c:v>28.7</c:v>
                </c:pt>
                <c:pt idx="2" formatCode="General">
                  <c:v>122.7</c:v>
                </c:pt>
                <c:pt idx="3" formatCode="General">
                  <c:v>89.6</c:v>
                </c:pt>
                <c:pt idx="4" formatCode="General">
                  <c:v>94.1</c:v>
                </c:pt>
                <c:pt idx="5" formatCode="General">
                  <c:v>95.12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539264"/>
        <c:axId val="148537728"/>
      </c:lineChart>
      <c:catAx>
        <c:axId val="1485098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511360"/>
        <c:crosses val="autoZero"/>
        <c:auto val="1"/>
        <c:lblAlgn val="ctr"/>
        <c:lblOffset val="100"/>
        <c:noMultiLvlLbl val="0"/>
      </c:catAx>
      <c:valAx>
        <c:axId val="148511360"/>
        <c:scaling>
          <c:orientation val="minMax"/>
        </c:scaling>
        <c:delete val="0"/>
        <c:axPos val="l"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509824"/>
        <c:crosses val="autoZero"/>
        <c:crossBetween val="between"/>
      </c:valAx>
      <c:valAx>
        <c:axId val="14853772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148539264"/>
        <c:crosses val="max"/>
        <c:crossBetween val="between"/>
      </c:valAx>
      <c:catAx>
        <c:axId val="148539264"/>
        <c:scaling>
          <c:orientation val="minMax"/>
        </c:scaling>
        <c:delete val="1"/>
        <c:axPos val="b"/>
        <c:majorTickMark val="out"/>
        <c:minorTickMark val="none"/>
        <c:tickLblPos val="none"/>
        <c:crossAx val="148537728"/>
        <c:crosses val="autoZero"/>
        <c:auto val="1"/>
        <c:lblAlgn val="ctr"/>
        <c:lblOffset val="100"/>
        <c:noMultiLvlLbl val="0"/>
      </c:catAx>
    </c:plotArea>
    <c:legend>
      <c:legendPos val="b"/>
      <c:legendEntry>
        <c:idx val="0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8.6319746309313855E-2"/>
          <c:y val="0.79118253100428038"/>
          <c:w val="0.82525766785112376"/>
          <c:h val="0.17882663383463171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Доходы  консолидированного бюджета, млн. руб.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9047664843421291E-2"/>
          <c:y val="0.12181538532173274"/>
          <c:w val="0.91649776595708576"/>
          <c:h val="0.754848143982002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488,8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356234096692107E-3"/>
                  <c:y val="1.19047619047619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575,7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068702290076335E-3"/>
                  <c:y val="0.10705596107055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66,8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523,2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7.7956505436820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566,6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  <c:pt idx="3">
                  <c:v>2026 год</c:v>
                </c:pt>
                <c:pt idx="4">
                  <c:v>2027 год</c:v>
                </c:pt>
                <c:pt idx="5">
                  <c:v>2028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488.8</c:v>
                </c:pt>
                <c:pt idx="1">
                  <c:v>575.70000000000005</c:v>
                </c:pt>
                <c:pt idx="2">
                  <c:v>590.5</c:v>
                </c:pt>
                <c:pt idx="3" formatCode="0.0">
                  <c:v>523.20000000000005</c:v>
                </c:pt>
                <c:pt idx="4" formatCode="0.0">
                  <c:v>566.6</c:v>
                </c:pt>
                <c:pt idx="5">
                  <c:v>487.8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48572800"/>
        <c:axId val="148574592"/>
      </c:barChart>
      <c:catAx>
        <c:axId val="14857280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574592"/>
        <c:crosses val="autoZero"/>
        <c:auto val="1"/>
        <c:lblAlgn val="ctr"/>
        <c:lblOffset val="100"/>
        <c:noMultiLvlLbl val="0"/>
      </c:catAx>
      <c:valAx>
        <c:axId val="1485745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5728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консолидированного бюджета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480,6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595,2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580,1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523,2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566,6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  <c:pt idx="3">
                  <c:v>2026 год</c:v>
                </c:pt>
                <c:pt idx="4">
                  <c:v>2027 год</c:v>
                </c:pt>
                <c:pt idx="5">
                  <c:v>2028 год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480.6</c:v>
                </c:pt>
                <c:pt idx="1">
                  <c:v>595.20000000000005</c:v>
                </c:pt>
                <c:pt idx="2">
                  <c:v>580.1</c:v>
                </c:pt>
                <c:pt idx="3">
                  <c:v>523.20000000000005</c:v>
                </c:pt>
                <c:pt idx="4">
                  <c:v>566.6</c:v>
                </c:pt>
                <c:pt idx="5">
                  <c:v>487.8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3"/>
        <c:axId val="165435264"/>
        <c:axId val="148605952"/>
      </c:barChart>
      <c:valAx>
        <c:axId val="148605952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extTo"/>
        <c:crossAx val="165435264"/>
        <c:crosses val="autoZero"/>
        <c:crossBetween val="between"/>
      </c:valAx>
      <c:catAx>
        <c:axId val="165435264"/>
        <c:scaling>
          <c:orientation val="minMax"/>
        </c:scaling>
        <c:delete val="0"/>
        <c:axPos val="l"/>
        <c:majorTickMark val="none"/>
        <c:minorTickMark val="none"/>
        <c:tickLblPos val="nextTo"/>
        <c:crossAx val="14860595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E26F-A83E-493E-9C6D-3E4562FC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3905</Words>
  <Characters>22260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GL_26_09_2024</cp:lastModifiedBy>
  <cp:revision>14</cp:revision>
  <cp:lastPrinted>2025-11-13T08:47:00Z</cp:lastPrinted>
  <dcterms:created xsi:type="dcterms:W3CDTF">2025-11-11T10:11:00Z</dcterms:created>
  <dcterms:modified xsi:type="dcterms:W3CDTF">2025-11-20T12:57:00Z</dcterms:modified>
</cp:coreProperties>
</file>