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FF5DE3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06CF7">
              <w:rPr>
                <w:noProof/>
                <w:sz w:val="32"/>
                <w:szCs w:val="32"/>
              </w:rPr>
              <w:drawing>
                <wp:inline distT="0" distB="0" distL="0" distR="0" wp14:anchorId="44BB48A8" wp14:editId="5FDF33D0">
                  <wp:extent cx="698500" cy="819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570BAE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FD4949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4949" w:rsidRPr="007B3D6B" w:rsidRDefault="00FD4949" w:rsidP="004A4A7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4A4A78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</w:t>
      </w:r>
      <w:r w:rsidR="00542F9D">
        <w:rPr>
          <w:rFonts w:ascii="Times New Roman" w:hAnsi="Times New Roman"/>
          <w:b/>
          <w:sz w:val="28"/>
          <w:szCs w:val="28"/>
        </w:rPr>
        <w:t>ОКРУЖНОЙ</w:t>
      </w:r>
      <w:r w:rsidRPr="007B3D6B">
        <w:rPr>
          <w:rFonts w:ascii="Times New Roman" w:hAnsi="Times New Roman"/>
          <w:b/>
          <w:sz w:val="28"/>
          <w:szCs w:val="28"/>
        </w:rPr>
        <w:t xml:space="preserve">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4A4A78" w:rsidRDefault="004A4A78" w:rsidP="004A4A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949" w:rsidRDefault="00FD4949" w:rsidP="004A4A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3D6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Ш</w:t>
      </w:r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Н</w:t>
      </w:r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И</w:t>
      </w:r>
      <w:r w:rsidR="004A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</w:p>
    <w:p w:rsidR="004A4A78" w:rsidRPr="007B3D6B" w:rsidRDefault="004A4A78" w:rsidP="004A4A78">
      <w:pPr>
        <w:spacing w:after="0" w:line="240" w:lineRule="auto"/>
        <w:jc w:val="center"/>
        <w:rPr>
          <w:sz w:val="28"/>
          <w:szCs w:val="28"/>
        </w:rPr>
      </w:pPr>
    </w:p>
    <w:p w:rsidR="00FD4949" w:rsidRDefault="00FD4949" w:rsidP="004A4A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949">
        <w:rPr>
          <w:rFonts w:ascii="Times New Roman" w:hAnsi="Times New Roman"/>
          <w:b/>
          <w:sz w:val="28"/>
          <w:szCs w:val="28"/>
        </w:rPr>
        <w:t xml:space="preserve">от </w:t>
      </w:r>
      <w:r w:rsidR="00720BFF">
        <w:rPr>
          <w:rFonts w:ascii="Times New Roman" w:hAnsi="Times New Roman"/>
          <w:b/>
          <w:sz w:val="28"/>
          <w:szCs w:val="28"/>
        </w:rPr>
        <w:t>27 ноября 2024 года</w:t>
      </w:r>
      <w:r w:rsidR="007B3D6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D49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4A4A78">
        <w:rPr>
          <w:rFonts w:ascii="Times New Roman" w:hAnsi="Times New Roman"/>
          <w:b/>
          <w:sz w:val="28"/>
          <w:szCs w:val="28"/>
        </w:rPr>
        <w:t xml:space="preserve"> </w:t>
      </w:r>
      <w:r w:rsidR="00AA0FD6">
        <w:rPr>
          <w:rFonts w:ascii="Times New Roman" w:hAnsi="Times New Roman"/>
          <w:b/>
          <w:sz w:val="28"/>
          <w:szCs w:val="28"/>
        </w:rPr>
        <w:t xml:space="preserve"> </w:t>
      </w:r>
      <w:r w:rsidR="00720BFF">
        <w:rPr>
          <w:rFonts w:ascii="Times New Roman" w:hAnsi="Times New Roman"/>
          <w:b/>
          <w:sz w:val="28"/>
          <w:szCs w:val="28"/>
        </w:rPr>
        <w:t xml:space="preserve">   </w:t>
      </w:r>
      <w:r w:rsidRPr="00FD4949">
        <w:rPr>
          <w:rFonts w:ascii="Times New Roman" w:hAnsi="Times New Roman"/>
          <w:b/>
          <w:sz w:val="28"/>
          <w:szCs w:val="28"/>
        </w:rPr>
        <w:t>№</w:t>
      </w:r>
      <w:r w:rsidR="00720BFF">
        <w:rPr>
          <w:rFonts w:ascii="Times New Roman" w:hAnsi="Times New Roman"/>
          <w:b/>
          <w:sz w:val="28"/>
          <w:szCs w:val="28"/>
        </w:rPr>
        <w:t xml:space="preserve"> 64</w:t>
      </w:r>
      <w:r w:rsidR="007B3D6B">
        <w:rPr>
          <w:rFonts w:ascii="Times New Roman" w:hAnsi="Times New Roman"/>
          <w:b/>
          <w:sz w:val="28"/>
          <w:szCs w:val="28"/>
        </w:rPr>
        <w:t xml:space="preserve"> </w:t>
      </w:r>
    </w:p>
    <w:p w:rsidR="00FB3609" w:rsidRPr="00FD4949" w:rsidRDefault="00FB3609" w:rsidP="004A4A78">
      <w:pPr>
        <w:spacing w:after="0" w:line="240" w:lineRule="auto"/>
        <w:rPr>
          <w:b/>
        </w:rPr>
      </w:pPr>
    </w:p>
    <w:p w:rsidR="006D2DF0" w:rsidRPr="002409E2" w:rsidRDefault="002409E2" w:rsidP="00FB3609">
      <w:pPr>
        <w:pStyle w:val="Style6"/>
        <w:widowControl/>
        <w:spacing w:line="240" w:lineRule="auto"/>
        <w:ind w:right="5385"/>
        <w:rPr>
          <w:rFonts w:ascii="Times New Roman" w:hAnsi="Times New Roman" w:cs="Times New Roman"/>
          <w:sz w:val="28"/>
          <w:szCs w:val="28"/>
        </w:rPr>
      </w:pPr>
      <w:r w:rsidRPr="002409E2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муниципального образования «Монастырщинский </w:t>
      </w:r>
      <w:r w:rsidR="00542F9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409E2">
        <w:rPr>
          <w:rFonts w:ascii="Times New Roman" w:hAnsi="Times New Roman" w:cs="Times New Roman"/>
          <w:sz w:val="28"/>
          <w:szCs w:val="28"/>
        </w:rPr>
        <w:t>»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542F9D">
        <w:rPr>
          <w:rFonts w:ascii="Times New Roman" w:hAnsi="Times New Roman" w:cs="Times New Roman"/>
          <w:sz w:val="28"/>
          <w:szCs w:val="28"/>
        </w:rPr>
        <w:t>5</w:t>
      </w:r>
      <w:r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542F9D">
        <w:rPr>
          <w:rFonts w:ascii="Times New Roman" w:hAnsi="Times New Roman" w:cs="Times New Roman"/>
          <w:sz w:val="28"/>
          <w:szCs w:val="28"/>
        </w:rPr>
        <w:t>7</w:t>
      </w:r>
      <w:r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29D6" w:rsidRDefault="00B729D6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14DD8" w:rsidRPr="002409E2" w:rsidRDefault="00214DD8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FD01C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42F9D">
        <w:rPr>
          <w:rFonts w:ascii="Times New Roman" w:hAnsi="Times New Roman" w:cs="Times New Roman"/>
          <w:sz w:val="28"/>
          <w:szCs w:val="28"/>
        </w:rPr>
        <w:t xml:space="preserve">«Монастырщинский </w:t>
      </w:r>
      <w:r w:rsidR="00390D96">
        <w:rPr>
          <w:rFonts w:ascii="Times New Roman" w:hAnsi="Times New Roman" w:cs="Times New Roman"/>
          <w:sz w:val="28"/>
          <w:szCs w:val="28"/>
        </w:rPr>
        <w:t>район</w:t>
      </w:r>
      <w:r w:rsidR="00542F9D">
        <w:rPr>
          <w:rFonts w:ascii="Times New Roman" w:hAnsi="Times New Roman" w:cs="Times New Roman"/>
          <w:sz w:val="28"/>
          <w:szCs w:val="28"/>
        </w:rPr>
        <w:t>»</w:t>
      </w:r>
      <w:r w:rsidR="00FD01CC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FB3609">
        <w:rPr>
          <w:rFonts w:ascii="Times New Roman" w:hAnsi="Times New Roman" w:cs="Times New Roman"/>
          <w:sz w:val="28"/>
          <w:szCs w:val="28"/>
        </w:rPr>
        <w:t>«О</w:t>
      </w:r>
      <w:r w:rsidR="006D2DF0" w:rsidRPr="002409E2">
        <w:rPr>
          <w:rFonts w:ascii="Times New Roman" w:hAnsi="Times New Roman" w:cs="Times New Roman"/>
          <w:sz w:val="28"/>
          <w:szCs w:val="28"/>
        </w:rPr>
        <w:t xml:space="preserve"> 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муниципального образования </w:t>
      </w:r>
      <w:r w:rsidR="00542F9D"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542F9D">
        <w:rPr>
          <w:rFonts w:ascii="Times New Roman" w:hAnsi="Times New Roman" w:cs="Times New Roman"/>
          <w:sz w:val="28"/>
          <w:szCs w:val="28"/>
        </w:rPr>
        <w:t>5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542F9D">
        <w:rPr>
          <w:rFonts w:ascii="Times New Roman" w:hAnsi="Times New Roman" w:cs="Times New Roman"/>
          <w:sz w:val="28"/>
          <w:szCs w:val="28"/>
        </w:rPr>
        <w:t>7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3609">
        <w:rPr>
          <w:rFonts w:ascii="Times New Roman" w:hAnsi="Times New Roman" w:cs="Times New Roman"/>
          <w:sz w:val="28"/>
          <w:szCs w:val="28"/>
        </w:rPr>
        <w:t>»</w:t>
      </w:r>
      <w:r w:rsidRPr="002409E2">
        <w:rPr>
          <w:rFonts w:ascii="Times New Roman" w:hAnsi="Times New Roman" w:cs="Times New Roman"/>
          <w:sz w:val="28"/>
          <w:szCs w:val="28"/>
        </w:rPr>
        <w:t>,</w:t>
      </w:r>
      <w:r w:rsidR="00FB3609">
        <w:rPr>
          <w:rFonts w:ascii="Times New Roman" w:hAnsi="Times New Roman" w:cs="Times New Roman"/>
          <w:sz w:val="28"/>
          <w:szCs w:val="28"/>
        </w:rPr>
        <w:t xml:space="preserve"> </w:t>
      </w:r>
      <w:r w:rsidRPr="002409E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2409E2">
        <w:rPr>
          <w:rFonts w:ascii="Times New Roman" w:hAnsi="Times New Roman" w:cs="Times New Roman"/>
          <w:spacing w:val="5"/>
          <w:sz w:val="28"/>
          <w:szCs w:val="28"/>
        </w:rPr>
        <w:t xml:space="preserve">Монастырщинский </w:t>
      </w:r>
      <w:r w:rsidR="00542F9D">
        <w:rPr>
          <w:rFonts w:ascii="Times New Roman" w:hAnsi="Times New Roman" w:cs="Times New Roman"/>
          <w:spacing w:val="5"/>
          <w:sz w:val="28"/>
          <w:szCs w:val="28"/>
        </w:rPr>
        <w:t>окружной</w:t>
      </w:r>
      <w:r w:rsidRPr="002409E2">
        <w:rPr>
          <w:rFonts w:ascii="Times New Roman" w:hAnsi="Times New Roman" w:cs="Times New Roman"/>
          <w:spacing w:val="5"/>
          <w:sz w:val="28"/>
          <w:szCs w:val="28"/>
        </w:rPr>
        <w:t xml:space="preserve"> Совет депутатов</w:t>
      </w:r>
    </w:p>
    <w:p w:rsidR="00214DD8" w:rsidRPr="00BA5AEA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="00FB360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729D6">
        <w:rPr>
          <w:rFonts w:ascii="Times New Roman" w:hAnsi="Times New Roman" w:cs="Times New Roman"/>
          <w:bCs/>
          <w:spacing w:val="3"/>
          <w:sz w:val="28"/>
          <w:szCs w:val="28"/>
        </w:rPr>
        <w:t>П</w:t>
      </w:r>
      <w:r w:rsidR="002409E2" w:rsidRPr="002409E2">
        <w:rPr>
          <w:rFonts w:ascii="Times New Roman" w:hAnsi="Times New Roman" w:cs="Times New Roman"/>
          <w:sz w:val="28"/>
          <w:szCs w:val="28"/>
        </w:rPr>
        <w:t>рогноз социально</w:t>
      </w:r>
      <w:r w:rsidR="00542F9D">
        <w:rPr>
          <w:rFonts w:ascii="Times New Roman" w:hAnsi="Times New Roman" w:cs="Times New Roman"/>
          <w:sz w:val="28"/>
          <w:szCs w:val="28"/>
        </w:rPr>
        <w:t>-э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кономического развития муниципального образования </w:t>
      </w:r>
      <w:r w:rsidR="00542F9D"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542F9D">
        <w:rPr>
          <w:rFonts w:ascii="Times New Roman" w:hAnsi="Times New Roman" w:cs="Times New Roman"/>
          <w:sz w:val="28"/>
          <w:szCs w:val="28"/>
        </w:rPr>
        <w:t>5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542F9D">
        <w:rPr>
          <w:rFonts w:ascii="Times New Roman" w:hAnsi="Times New Roman" w:cs="Times New Roman"/>
          <w:sz w:val="28"/>
          <w:szCs w:val="28"/>
        </w:rPr>
        <w:t>7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9E2">
        <w:rPr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принять к сведению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FD01C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 w:rsidR="00FB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Настоящее решение вступает в силу с</w:t>
      </w:r>
      <w:r w:rsidR="00FB360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подписания.</w:t>
      </w:r>
    </w:p>
    <w:p w:rsidR="00045BDF" w:rsidRDefault="00045BDF" w:rsidP="00FD01C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D8" w:rsidRDefault="00214DD8" w:rsidP="00FD01CC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48"/>
      </w:tblGrid>
      <w:tr w:rsidR="00214DD8" w:rsidTr="00574B22">
        <w:trPr>
          <w:trHeight w:val="1411"/>
        </w:trPr>
        <w:tc>
          <w:tcPr>
            <w:tcW w:w="5637" w:type="dxa"/>
          </w:tcPr>
          <w:p w:rsidR="00214DD8" w:rsidRDefault="00214DD8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</w:t>
            </w:r>
            <w:r w:rsidR="0048078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муниципального образования</w:t>
            </w:r>
          </w:p>
          <w:p w:rsidR="00214DD8" w:rsidRDefault="00542F9D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«Монастырщинский район»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574B22" w:rsidRDefault="00214DD8" w:rsidP="00FD01CC">
            <w:pPr>
              <w:pStyle w:val="a6"/>
              <w:ind w:left="3119" w:hanging="3119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Смоленской</w:t>
            </w:r>
            <w:r w:rsidR="00574B2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области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 w:rsidR="00574B2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</w:t>
            </w:r>
          </w:p>
          <w:p w:rsidR="00214DD8" w:rsidRDefault="00574B22" w:rsidP="00FB3609">
            <w:pPr>
              <w:pStyle w:val="a6"/>
              <w:ind w:left="3119" w:hanging="3119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         </w:t>
            </w:r>
            <w:r w:rsidR="00FB360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480783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В.Б. Титов</w:t>
            </w:r>
          </w:p>
          <w:p w:rsidR="00214DD8" w:rsidRDefault="00214DD8" w:rsidP="00FD01CC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4948" w:type="dxa"/>
          </w:tcPr>
          <w:p w:rsidR="00FF5DE3" w:rsidRDefault="00FB3609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Председатель </w:t>
            </w:r>
          </w:p>
          <w:p w:rsidR="00FF5DE3" w:rsidRDefault="00FB3609" w:rsidP="00FB3609">
            <w:pPr>
              <w:pStyle w:val="a6"/>
              <w:ind w:right="163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Монастырщинского </w:t>
            </w:r>
            <w:r w:rsidR="00542F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окружного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214DD8" w:rsidRDefault="00FB3609" w:rsidP="00FD01CC">
            <w:pPr>
              <w:pStyle w:val="a6"/>
              <w:ind w:left="2444" w:hanging="2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14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D8" w:rsidRPr="00FB3609" w:rsidRDefault="00FB3609" w:rsidP="00FD01CC">
            <w:pPr>
              <w:pStyle w:val="a6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                            П.А. Счастливый</w:t>
            </w:r>
          </w:p>
        </w:tc>
      </w:tr>
    </w:tbl>
    <w:p w:rsidR="000702F0" w:rsidRDefault="000702F0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5459" w:rsidRDefault="00845459" w:rsidP="00B14E32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45459" w:rsidRDefault="00845459" w:rsidP="00B14E32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9F3D87" w:rsidRPr="009F3D87" w:rsidRDefault="009F3D87" w:rsidP="00FB3609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F3D87" w:rsidRPr="009F3D87" w:rsidRDefault="009F3D87" w:rsidP="00FB3609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t xml:space="preserve">к решению Монастырщинского </w:t>
      </w:r>
    </w:p>
    <w:p w:rsidR="009F3D87" w:rsidRPr="009F3D87" w:rsidRDefault="00542F9D" w:rsidP="00FB3609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</w:t>
      </w:r>
      <w:r w:rsidR="009F3D87" w:rsidRPr="009F3D87">
        <w:rPr>
          <w:rFonts w:ascii="Times New Roman" w:eastAsia="Times New Roman" w:hAnsi="Times New Roman" w:cs="Times New Roman"/>
          <w:sz w:val="24"/>
          <w:szCs w:val="24"/>
        </w:rPr>
        <w:t>ного Совета депутатов</w:t>
      </w:r>
    </w:p>
    <w:p w:rsidR="009F3D87" w:rsidRDefault="009F3D87" w:rsidP="00FB3609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0BFF">
        <w:rPr>
          <w:rFonts w:ascii="Times New Roman" w:eastAsia="Times New Roman" w:hAnsi="Times New Roman" w:cs="Times New Roman"/>
          <w:sz w:val="24"/>
          <w:szCs w:val="24"/>
        </w:rPr>
        <w:t xml:space="preserve">27.11.2024г.  </w:t>
      </w:r>
      <w:r w:rsidRPr="009F3D8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20BFF">
        <w:rPr>
          <w:rFonts w:ascii="Times New Roman" w:eastAsia="Times New Roman" w:hAnsi="Times New Roman" w:cs="Times New Roman"/>
          <w:sz w:val="24"/>
          <w:szCs w:val="24"/>
        </w:rPr>
        <w:t>64</w:t>
      </w:r>
      <w:bookmarkStart w:id="0" w:name="_GoBack"/>
      <w:bookmarkEnd w:id="0"/>
    </w:p>
    <w:p w:rsidR="009D05CF" w:rsidRDefault="009D05CF" w:rsidP="00FB3609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3BF" w:rsidRDefault="006813BF" w:rsidP="00B14E32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6813BF" w:rsidRPr="009F3D87" w:rsidRDefault="006813BF" w:rsidP="00B14E32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02382" w:rsidRPr="00202382" w:rsidRDefault="00202382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B3609" w:rsidRDefault="00202382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показателям прогноза социально- экономического развития муниципального образования «Монастырщинский </w:t>
      </w:r>
      <w:r w:rsidR="00112E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2382" w:rsidRPr="00202382" w:rsidRDefault="00202382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 на период 2025-2027 годы</w:t>
      </w:r>
    </w:p>
    <w:p w:rsidR="00202382" w:rsidRPr="00202382" w:rsidRDefault="00202382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«Монастырщинский 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» Смоленской области на период 2025-2027 годы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(далее - прогноз) разработан на основе одобренных Правительством Российской Федерации сценарных условий функционирования экономики РФ и основных параметров прогноза социально-экономического развития Российской Федерации на период 2025-2027 годы.</w:t>
      </w: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Прогноз разработан на основе анализа социально-экономического развития за 2022 и 2023 годы путем уточнения ранее утвержденных параметров прогноза за 2024 год, а также на 2025-2027 годы.</w:t>
      </w: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2382" w:rsidRPr="00202382" w:rsidRDefault="00202382" w:rsidP="00481289">
      <w:pPr>
        <w:numPr>
          <w:ilvl w:val="0"/>
          <w:numId w:val="2"/>
        </w:num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</w:t>
      </w:r>
    </w:p>
    <w:p w:rsidR="005D1B2E" w:rsidRDefault="005D1B2E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</w:pP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Демографическая ситуация в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5D1B2E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Смоленской области </w:t>
      </w:r>
      <w:r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продолжает оставаться сложной,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последних лет характеризуется стабильной тенденцией снижения численности населения.</w:t>
      </w: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Сокращение численности населения происходило как за счет естественной убыли, так и за счет миграционной убыли. Определяющим фактором сокращения численности населения является естественная убыль, то есть превышение числа смертей над числом рождений.</w:t>
      </w:r>
    </w:p>
    <w:p w:rsidR="00202382" w:rsidRPr="00202382" w:rsidRDefault="00202382" w:rsidP="0048128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Среднегодовая численность постоянного населения в 2023 году уменьшилась по сравнению с 2022 годом на 192 человека и составила</w:t>
      </w:r>
      <w:r w:rsidRPr="0020238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7842 </w:t>
      </w:r>
      <w:r w:rsidRPr="00202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</w:t>
      </w:r>
      <w:r w:rsidR="0011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202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 01.01.2024 года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численность населения составля</w:t>
      </w:r>
      <w:r w:rsidR="00E01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7,769 тыс. человек, в том числе городское население </w:t>
      </w:r>
      <w:r w:rsidR="00E01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3,127 тыс. человек, сельское – 4,642 тыс. человек. </w:t>
      </w:r>
    </w:p>
    <w:p w:rsidR="00202382" w:rsidRPr="00202382" w:rsidRDefault="00202382" w:rsidP="0048128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2023 год родилось 36 человек, умерло – 174 человека. </w:t>
      </w:r>
    </w:p>
    <w:p w:rsidR="00202382" w:rsidRDefault="00202382" w:rsidP="00202382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Cs/>
          <w:color w:val="FF0000"/>
          <w:sz w:val="18"/>
          <w:szCs w:val="18"/>
        </w:rPr>
      </w:pPr>
    </w:p>
    <w:p w:rsidR="005D1B2E" w:rsidRDefault="005D1B2E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3609" w:rsidRDefault="00FB3609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3609" w:rsidRDefault="00FB3609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3609" w:rsidRDefault="00FB3609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3609" w:rsidRDefault="00FB3609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3609" w:rsidRDefault="00FB3609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02382" w:rsidRPr="00202382" w:rsidRDefault="00202382" w:rsidP="00202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Динамика рождаемости и смертности</w:t>
      </w:r>
    </w:p>
    <w:p w:rsidR="00202382" w:rsidRPr="00202382" w:rsidRDefault="00202382" w:rsidP="00202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C25">
        <w:rPr>
          <w:rFonts w:ascii="Calibri" w:eastAsia="Times New Roman" w:hAnsi="Calibri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7363DBD3" wp14:editId="58F521CA">
            <wp:extent cx="6353175" cy="24384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смертности по-прежнему остается высоким, что и является основной причиной естественной убыли населения. За 2023 год смертность превысила рождаемость в 4,8 раза (в 2022 году данное соотношение было 4,5 раза).</w:t>
      </w:r>
      <w:r w:rsidRPr="00202382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202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Миграционная убыль в 2023 году составила 8 человек.</w:t>
      </w:r>
      <w:r w:rsidRPr="0020238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2027 году рождаемость планируется на уровне 55 человек. </w:t>
      </w:r>
    </w:p>
    <w:p w:rsidR="00202382" w:rsidRPr="00202382" w:rsidRDefault="00202382" w:rsidP="00202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2382" w:rsidRPr="00202382" w:rsidRDefault="00202382" w:rsidP="00202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A4BB790" wp14:editId="55CDF045">
            <wp:extent cx="6349042" cy="2398143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2382" w:rsidRPr="00202382" w:rsidRDefault="00202382" w:rsidP="0020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2382" w:rsidRPr="00202382" w:rsidRDefault="00202382" w:rsidP="004812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Естественная убыль населения в 2027 году составит 125 человек.</w:t>
      </w:r>
    </w:p>
    <w:p w:rsidR="00202382" w:rsidRPr="00202382" w:rsidRDefault="00202382" w:rsidP="0048128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до тех пор, пока существует естественная убыль населения, демографическая ситуация в районе остается сложной.</w:t>
      </w:r>
    </w:p>
    <w:p w:rsidR="00202382" w:rsidRPr="00202382" w:rsidRDefault="00202382" w:rsidP="00481289">
      <w:pPr>
        <w:tabs>
          <w:tab w:val="left" w:pos="-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Миграция является одним из основополагающих факторов изменения численности. Ежегодное сокращение миграционного прироста наблюдается в районе. Миграционное движение населения связано с транспортно-географическим положением района. Привлекательность города Смоленска и Московского региона подталкивает часть населения к переезду, особенно это касается молодежи, для которой столичный регион интересен в качестве места учебы и работы.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демографическая ситуация в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2E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будет развиваться под влиянием сложившихся тенденций рождаемости и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lastRenderedPageBreak/>
        <w:t>смертности,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с учетом предполагаемого роста миграции населения. В результате среднегодовая численность населения района в 2027 году составит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7,700 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человек.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202382" w:rsidRDefault="00202382" w:rsidP="00D239D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2. Сельское хозяйство</w:t>
      </w:r>
    </w:p>
    <w:p w:rsidR="005D1B2E" w:rsidRPr="00202382" w:rsidRDefault="005D1B2E" w:rsidP="00D239D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Pr="00202382" w:rsidRDefault="00202382" w:rsidP="00D239D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Основной отраслью экономики 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1B2E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D1B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1B2E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5D1B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1B2E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5D1B2E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5D1B2E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2E">
        <w:rPr>
          <w:rFonts w:ascii="Times New Roman" w:eastAsia="Times New Roman" w:hAnsi="Times New Roman" w:cs="Times New Roman"/>
          <w:sz w:val="28"/>
          <w:szCs w:val="28"/>
        </w:rPr>
        <w:t>Смоленской области является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сельское хозяйство. От эффективности работы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агропромышленного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комплекса зависит экономическая и социальная стабильность района в целом.</w:t>
      </w:r>
    </w:p>
    <w:p w:rsidR="00202382" w:rsidRPr="00202382" w:rsidRDefault="00202382" w:rsidP="00D239DE">
      <w:pPr>
        <w:tabs>
          <w:tab w:val="left" w:pos="567"/>
        </w:tabs>
        <w:spacing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E01C25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1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производством сельскохозяйственной продукции занимаются </w:t>
      </w:r>
      <w:r w:rsidR="00E01C25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сельхозпредприятий, </w:t>
      </w:r>
      <w:r w:rsidR="00E01C2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крестьянских (фермерских) хозяйств и личные подсобные хозяйства граждан.</w:t>
      </w:r>
    </w:p>
    <w:p w:rsidR="00202382" w:rsidRPr="00202382" w:rsidRDefault="00202382" w:rsidP="00D239DE">
      <w:pPr>
        <w:tabs>
          <w:tab w:val="left" w:pos="567"/>
        </w:tabs>
        <w:spacing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2024 году во всех категориях хозяйств ожидается произвести зерна в весе после доработки 20680,4 тонны, что составит 103,3 % к уровню 2023 года. Увеличение производства зерна планируется за счет увеличения посевных площадей зерновыми культурами – ООО «</w:t>
      </w:r>
      <w:proofErr w:type="spellStart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Молагророст</w:t>
      </w:r>
      <w:proofErr w:type="spellEnd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» произвело посев яровых зерновых культур на площади 909 га, СПК «</w:t>
      </w:r>
      <w:proofErr w:type="spellStart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Петрополье</w:t>
      </w:r>
      <w:proofErr w:type="spellEnd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» посеял яровых зерновых культур на площади 500 га и планирует дальнейшее увеличение площадей.</w:t>
      </w:r>
    </w:p>
    <w:p w:rsidR="00202382" w:rsidRPr="00202382" w:rsidRDefault="00202382" w:rsidP="00D239DE">
      <w:pPr>
        <w:tabs>
          <w:tab w:val="left" w:pos="567"/>
        </w:tabs>
        <w:spacing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Увеличение производства зерна планируется до конца прогнозируемого периода на 11,6 % к факту 2023 года и его производство составит 22348,9 тонн.</w:t>
      </w:r>
    </w:p>
    <w:p w:rsidR="00202382" w:rsidRPr="00202382" w:rsidRDefault="00202382" w:rsidP="00D239DE">
      <w:pPr>
        <w:tabs>
          <w:tab w:val="left" w:pos="567"/>
        </w:tabs>
        <w:spacing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Картофеля в 2024 году будет произведено 6200,8 тонны и до конца прогнозируемого периода 6390 тонн, что составляет 106,7 % к факту 2023 года.</w:t>
      </w:r>
    </w:p>
    <w:p w:rsidR="00202382" w:rsidRPr="00202382" w:rsidRDefault="00202382" w:rsidP="00D239DE">
      <w:pPr>
        <w:spacing w:line="36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3910,8 тонны или 63,1% картофеля к общему производству ожидается произвести гражданами в личных подсобных хозяйствах, а к 2027 году прогнозируется увеличение его производства в ЛПХ до 4020 тонн, что составит 62,9 % от общего производства.</w:t>
      </w:r>
    </w:p>
    <w:p w:rsidR="00202382" w:rsidRPr="00202382" w:rsidRDefault="00202382" w:rsidP="00D239DE">
      <w:pPr>
        <w:spacing w:line="36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Производство овощных культур планируется только в личных подсобных хозяйствах, и до конца прогнозируемого периода их производство ожидается 825 тонн, что составит к факту 2023 года 126,9 %.</w:t>
      </w:r>
    </w:p>
    <w:p w:rsidR="00202382" w:rsidRPr="00202382" w:rsidRDefault="00202382" w:rsidP="00D239DE">
      <w:pPr>
        <w:spacing w:line="36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К 2027 году в хозяйствах всех категорий прогнозируется увеличение производства рапса.</w:t>
      </w:r>
    </w:p>
    <w:p w:rsidR="00202382" w:rsidRPr="00202382" w:rsidRDefault="00202382" w:rsidP="00D239DE">
      <w:pPr>
        <w:spacing w:line="36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Всеми категориями хозяйств в 2024 году планируется произвести молока 10167,8 тонны и до конца прогнозируемого периода довести его производство до 10570 тонн, в т. ч. по сельхозпредприятиям в 2024 году будет произведено 8076,8 тонны, в 2027 году 8420 тонн. Увеличение производства молока планируется за счет реализации инвестиционного проекта по строительству молочно-товарной фермы на 1800 голов крупного рогатого скота в ООО «</w:t>
      </w:r>
      <w:proofErr w:type="spellStart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Молагророст</w:t>
      </w:r>
      <w:proofErr w:type="spellEnd"/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202382" w:rsidRPr="00202382" w:rsidRDefault="00202382" w:rsidP="00D239DE">
      <w:pPr>
        <w:spacing w:line="36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Производство скота и птицы на убой в живой массе составит в 2024 году 1779,3 тонны и к 2027 году возрастёт до 1885,4 тонн. Рост производства скота на убой прогнозируется в сельхозпредприятиях на 6,7 % к факту 2023 года за счёт реализации инвестиционного проекта «Растениеводство в сочетании с воспроизводством мясных пород КРС и производством говядины в ООО «Брянская мясная компания».</w:t>
      </w:r>
    </w:p>
    <w:p w:rsidR="00202382" w:rsidRPr="00202382" w:rsidRDefault="00202382" w:rsidP="002023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887628D" wp14:editId="5CDCB31B">
            <wp:extent cx="5977890" cy="2898775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2382" w:rsidRDefault="00202382" w:rsidP="002023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3. Строительство</w:t>
      </w:r>
    </w:p>
    <w:p w:rsidR="005D1B2E" w:rsidRDefault="005D1B2E" w:rsidP="002023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Pr="00202382" w:rsidRDefault="00202382" w:rsidP="005D1B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2023 году введено жилья 0,1091 тыс. кв. м, что меньше на 0,0170 тыс. кв. м, чем в 2022 году. </w:t>
      </w:r>
    </w:p>
    <w:p w:rsidR="00202382" w:rsidRPr="00202382" w:rsidRDefault="00202382" w:rsidP="005D1B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По оценке в 2024 году ввод в эксплуатацию жилых домов составит 0,960 тыс. кв. м. За период с 2025 по 2027 год за счет индивидуального строительства домов населением, планируется ввести 3,000 тыс. кв. м жилья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 них в 2025 году – 1,000, в 2026 году – 1,000, в 2027 году – 1,000 тыс. кв. м. </w:t>
      </w:r>
      <w:proofErr w:type="gramEnd"/>
    </w:p>
    <w:p w:rsidR="00202382" w:rsidRPr="00202382" w:rsidRDefault="00202382" w:rsidP="00D239DE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382" w:rsidRDefault="00202382" w:rsidP="00D239DE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4. Торговля и услуги населению</w:t>
      </w:r>
    </w:p>
    <w:p w:rsidR="005D1B2E" w:rsidRDefault="005D1B2E" w:rsidP="00D239DE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Default="00202382" w:rsidP="00BE3D87">
      <w:pPr>
        <w:widowControl w:val="0"/>
        <w:spacing w:after="0" w:line="360" w:lineRule="atLeast"/>
        <w:ind w:right="17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Торговля </w:t>
      </w:r>
      <w:r w:rsidR="005D1B2E"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20238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это сфера потребительского рынка, которая занимает весомую часть в его структуре и вносит существенный вклад в социально-экономическое развитие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Смоленской области.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–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202382" w:rsidRPr="00202382" w:rsidRDefault="00202382" w:rsidP="00202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19D004A1" wp14:editId="5C4E4497">
            <wp:extent cx="6297283" cy="1932317"/>
            <wp:effectExtent l="38100" t="0" r="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Смоленской области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На 1 января 2024 года сфера торговли была представлена 74 объектами торговой сети </w:t>
      </w:r>
      <w:r w:rsidRPr="002023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ярмаркой выходного дня.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Общая торговая площадь по району 5 438,7 кв. м.</w:t>
      </w:r>
    </w:p>
    <w:p w:rsidR="00202382" w:rsidRPr="00202382" w:rsidRDefault="00202382" w:rsidP="00D239DE">
      <w:pPr>
        <w:tabs>
          <w:tab w:val="center" w:pos="4677"/>
          <w:tab w:val="right" w:pos="9355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в действующих ценах за 2023 составил 1115,05 млн. руб. (увеличение к уровню 2022 года на 10,1 %).</w:t>
      </w:r>
    </w:p>
    <w:p w:rsidR="00202382" w:rsidRPr="00202382" w:rsidRDefault="00202382" w:rsidP="00D239DE">
      <w:pPr>
        <w:tabs>
          <w:tab w:val="center" w:pos="4677"/>
          <w:tab w:val="right" w:pos="9355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В 2024 году оборот розничной торговли по оценке составит 1305,3,23 млн. руб. с темпом роста 108,8 %, к уровню 2023 года в сопоставимых ценах.</w:t>
      </w:r>
    </w:p>
    <w:p w:rsidR="00202382" w:rsidRPr="00202382" w:rsidRDefault="00202382" w:rsidP="00D239DE">
      <w:pPr>
        <w:tabs>
          <w:tab w:val="center" w:pos="4677"/>
          <w:tab w:val="right" w:pos="9355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Рост оборота розничной торговли в прогнозном периоде составит в 2025 году – 106,7 %, в 2026 году – 105,8 %, в 2027 году – 107,2 %.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В сфере услуг населению в районе функционируют: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- 22 объекта бытового обслуживания, где работает 46 человек;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- 3 службы легкового такси.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Объём платных услуг населению по крупным и средним предприятиям в 2023 году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составил 72,3 объем платных услуг по оценке сложится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в сумме 73,8 млн. рублей, с темпом роста 107,0 % в сопоставимых ценах к уровню 2023 года.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В прогнозном периоде темпы роста объема платных услуг населению составят: в 2025 году – 106,3 %, в 2026 году – 104,5 %, в 2026 году – 104,2 %.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До 2027 года на динамику объема платных услуг населению так же, как и на оборот розничной торговли, наибольшее влияние будет оказывать рост доходов населения.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Администрацией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продолжить работу, направленную на </w:t>
      </w: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стимулирование развития розничной торговой деятельности и объема платных услуг на территории Монастырщинского района и деловой активности хозяйствующих объектов,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осуществляющих торговую деятельность.</w:t>
      </w:r>
    </w:p>
    <w:p w:rsidR="00202382" w:rsidRPr="00202382" w:rsidRDefault="00202382" w:rsidP="00D239DE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В этих целях планируется проведение следующих мероприятий: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активизация участия предприятий торговли в реализации социальной политики, проводимой Администрацией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</w:t>
      </w:r>
      <w:r w:rsidRPr="00202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участия торговых предприятий в культурно-массовых мероприятиях, проводимых Администрацией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, с целью осуществления выездной торговли;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выставок-продаж и ярмарок по реализации сельхозпродукции, произведенной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202382" w:rsidRPr="00202382" w:rsidRDefault="00202382" w:rsidP="0020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382" w:rsidRDefault="00202382" w:rsidP="00202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5. Малое и среднее предпринимательство</w:t>
      </w:r>
    </w:p>
    <w:p w:rsidR="00D239DE" w:rsidRPr="00202382" w:rsidRDefault="00D239DE" w:rsidP="00202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Прогноз развития малого и среднего предпринимательства на период 2025 – 2027 годы рассчитан на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анализа статистических данных по итогам сплошного статистического обследования малого бизнеса за 2015 год, оценки развития малого и среднего предпринимательства в 2023 году.</w:t>
      </w:r>
    </w:p>
    <w:p w:rsidR="00202382" w:rsidRPr="00202382" w:rsidRDefault="00202382" w:rsidP="00D239DE">
      <w:pPr>
        <w:widowControl w:val="0"/>
        <w:tabs>
          <w:tab w:val="left" w:pos="547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2022-2023 годах число малых и средних предприятий рассчитывалось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Единого реестра субъектов малого и среднего предпринимательства.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По прогнозу к концу 2027 года число малых предприятий в целом по всем видам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увеличится и составит 40 единиц.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начало 2024 года на территории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="00BE3D87"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 191 субъект малого и среднего предпринимательства. Из них индивидуальных предпринимателей 162. Количество субъектов МСП по сравнению с 2023 годом </w:t>
      </w:r>
      <w:r w:rsidRPr="002023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увеличилось на 4 единицы.</w:t>
      </w:r>
    </w:p>
    <w:p w:rsidR="00202382" w:rsidRPr="00202382" w:rsidRDefault="00202382" w:rsidP="00D239DE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оценке в 2024 году среднесписочная численность работников малых и средних предприятий составит около 188 человек. В 2025 – 2027 годах численность работников прогнозируется до 199 человек.</w:t>
      </w:r>
    </w:p>
    <w:p w:rsidR="00202382" w:rsidRPr="00202382" w:rsidRDefault="00202382" w:rsidP="00D239DE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производства промышленной продукции представлена 2 направлениями: производство и распределение воды, производство тепловой энергии. </w:t>
      </w:r>
    </w:p>
    <w:p w:rsidR="00202382" w:rsidRPr="00202382" w:rsidRDefault="00202382" w:rsidP="00D239D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2023 году оборот малых и средних предприятий составил 1,1 млрд. рублей.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По оценке, в 2024 году оборот малых и средних предприятий вырастет на 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6,6 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% и составит 1,173 млрд. рублей.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перспективе, за счёт ежегодного увеличения оборотов предприятий, а также с учётом открытия новых предприятий малого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lastRenderedPageBreak/>
        <w:t>бизнеса, общий оборот составит: 2025 год – 1,234 млрд. рублей, 2026 год – 1,285 млрд. рублей, 2027 год – 1,336 млрд. рублей.</w:t>
      </w:r>
      <w:proofErr w:type="gramEnd"/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В среднесрочной перспективе п</w:t>
      </w:r>
      <w:r w:rsidRPr="00202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олитика власти в сфере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развития малого предпринимательства и его ориентации на решение актуальных проблем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202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осуществляться в рамках муниципальной программы «Создание благоприятного предпринимательского климата на территории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Pr="00202382">
        <w:rPr>
          <w:rFonts w:ascii="Times New Roman" w:eastAsia="Times New Roman" w:hAnsi="Times New Roman" w:cs="Times New Roman"/>
          <w:spacing w:val="-3"/>
          <w:sz w:val="28"/>
          <w:szCs w:val="28"/>
        </w:rPr>
        <w:t>».</w:t>
      </w:r>
    </w:p>
    <w:p w:rsidR="00202382" w:rsidRPr="00202382" w:rsidRDefault="00BE3D87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382" w:rsidRPr="00202382">
        <w:rPr>
          <w:rFonts w:ascii="Times New Roman" w:eastAsia="Times New Roman" w:hAnsi="Times New Roman" w:cs="Times New Roman"/>
          <w:sz w:val="28"/>
          <w:szCs w:val="28"/>
        </w:rPr>
        <w:t>имеет крайне ограниченные возможности промышленного развития. Небольшая численность и устойчивая тенденция сокращения населения, окраинное положение, удаленность железнодорожного сообщения являются значимыми неблагоприятными факторами, препятствующими размещению нового и росту имеющегося промышленного производства.</w:t>
      </w:r>
    </w:p>
    <w:p w:rsidR="00202382" w:rsidRPr="00202382" w:rsidRDefault="00202382" w:rsidP="00984DBB">
      <w:pPr>
        <w:tabs>
          <w:tab w:val="center" w:pos="5462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будет продолжена работа по созданию благоприятных условий для развития малого и среднего предпринимательства: </w:t>
      </w:r>
    </w:p>
    <w:p w:rsidR="00202382" w:rsidRPr="00202382" w:rsidRDefault="00202382" w:rsidP="00984DBB">
      <w:pPr>
        <w:tabs>
          <w:tab w:val="center" w:pos="5462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освещение деятельности малого бизнеса, его успехов в районной газете, на официальном сайте Администрации муниципального образования «Монастырщинский 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«Интернет»;</w:t>
      </w:r>
    </w:p>
    <w:p w:rsidR="00202382" w:rsidRPr="00202382" w:rsidRDefault="00202382" w:rsidP="00984DBB">
      <w:pPr>
        <w:tabs>
          <w:tab w:val="center" w:pos="5462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субъектов малого и среднего предпринимательства в качестве поставщиков и исполнителей подрядных работ для муниципальных нужд; </w:t>
      </w:r>
    </w:p>
    <w:p w:rsidR="00202382" w:rsidRPr="00202382" w:rsidRDefault="00202382" w:rsidP="00984DBB">
      <w:pPr>
        <w:tabs>
          <w:tab w:val="center" w:pos="5462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</w:t>
      </w:r>
      <w:r w:rsidR="00984DBB">
        <w:rPr>
          <w:rFonts w:ascii="Times New Roman" w:eastAsia="Times New Roman" w:hAnsi="Times New Roman" w:cs="Times New Roman"/>
          <w:sz w:val="28"/>
          <w:szCs w:val="28"/>
        </w:rPr>
        <w:t>населения о государственных, региональных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D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4DBB"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D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мерах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финансовой поддержки субъектов малого предпринимательства</w:t>
      </w:r>
      <w:r w:rsidR="00984DBB">
        <w:rPr>
          <w:rFonts w:ascii="Times New Roman" w:eastAsia="Times New Roman" w:hAnsi="Times New Roman" w:cs="Times New Roman"/>
          <w:sz w:val="28"/>
          <w:szCs w:val="28"/>
        </w:rPr>
        <w:t xml:space="preserve"> (социальный контракт, </w:t>
      </w:r>
      <w:proofErr w:type="spellStart"/>
      <w:r w:rsidR="00984DBB"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 w:rsidR="00984DBB">
        <w:rPr>
          <w:rFonts w:ascii="Times New Roman" w:eastAsia="Times New Roman" w:hAnsi="Times New Roman" w:cs="Times New Roman"/>
          <w:sz w:val="28"/>
          <w:szCs w:val="28"/>
        </w:rPr>
        <w:t xml:space="preserve"> программа «Первый старт» и др.);</w:t>
      </w:r>
    </w:p>
    <w:p w:rsidR="00202382" w:rsidRPr="00202382" w:rsidRDefault="00202382" w:rsidP="00984DBB">
      <w:pPr>
        <w:tabs>
          <w:tab w:val="center" w:pos="5462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пропаганда и популяризация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</w:t>
      </w:r>
    </w:p>
    <w:p w:rsidR="00202382" w:rsidRPr="00202382" w:rsidRDefault="00202382" w:rsidP="00984DBB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 предоставление имущественной поддержки субъектам малого предпринимательства;</w:t>
      </w:r>
    </w:p>
    <w:p w:rsidR="00202382" w:rsidRPr="00202382" w:rsidRDefault="00202382" w:rsidP="00984DBB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202382" w:rsidRPr="00202382" w:rsidRDefault="00202382" w:rsidP="00984DBB">
      <w:pPr>
        <w:spacing w:after="0" w:line="3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382" w:rsidRDefault="00202382" w:rsidP="00984DBB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6. Инвестиции</w:t>
      </w:r>
    </w:p>
    <w:p w:rsidR="00984DBB" w:rsidRPr="00202382" w:rsidRDefault="00984DBB" w:rsidP="00984DBB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382" w:rsidRDefault="00202382" w:rsidP="00BE3D8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По прогнозной оценке, в 2024 году на развитие экономики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будут направлены инвестиции в основной капитал в сумме 145,7 млн. рублей, индекс физического объема составит 111,6 % к уровню 202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года. Уменьшение инвестиций обусловлено реализацией мероприятий по строительству объектов коммунальной инфраструктуры и инвестиционных проектов.</w:t>
      </w:r>
    </w:p>
    <w:p w:rsidR="00BE3D87" w:rsidRPr="00202382" w:rsidRDefault="00BE3D87" w:rsidP="00BE3D8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609" w:rsidRDefault="00FB3609" w:rsidP="00984DBB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82" w:rsidRPr="00202382" w:rsidRDefault="00202382" w:rsidP="00984DBB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Динамика инвестиций в основной капитал за счет всех </w:t>
      </w:r>
    </w:p>
    <w:p w:rsidR="00202382" w:rsidRPr="00202382" w:rsidRDefault="00202382" w:rsidP="00984DBB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источников финансирования</w:t>
      </w:r>
    </w:p>
    <w:p w:rsidR="00202382" w:rsidRPr="00202382" w:rsidRDefault="00202382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1AA4639" wp14:editId="3C54CBBA">
            <wp:extent cx="6038491" cy="3424687"/>
            <wp:effectExtent l="0" t="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2382" w:rsidRPr="00202382" w:rsidRDefault="00202382" w:rsidP="00D239D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Общий объем инвестиций в основной капитал организаций, не относящихся к субъектам малого предпринимательства,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в 2023 году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118700,0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за счет собственных сре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едприятий –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50153,0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за счет привлеченных средств –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68547,0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ab/>
      </w:r>
      <w:r w:rsidRPr="00202382">
        <w:rPr>
          <w:rFonts w:ascii="Times New Roman" w:eastAsia="Times New Roman" w:hAnsi="Times New Roman" w:cs="Times New Roman"/>
          <w:sz w:val="28"/>
          <w:szCs w:val="28"/>
        </w:rPr>
        <w:tab/>
        <w:t xml:space="preserve">Существенное влияние на объем инвестиций оказали следующие предприятия и организации: 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ТОСП ООО «Брянская мясная компания» – приобретение техники и оборудования на сумму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14807,0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Монастырщинский филиал СОГБУ «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Смоленскавтодор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» – выполнены работы по капитальному ремонту на сумму </w:t>
      </w: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15155,0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ОГБУЗ «Монастырщинская центральная районная больница» – приобретение медицинского оборудования, ремонт зданий –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 xml:space="preserve">17472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муниципального образования «Монастырщинский район» Смоленской области – реконструкция сетей водоотведения, приобретение дорожной техники на сумму </w:t>
      </w: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19418,0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ТОПС ФЛ ПАО «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Центр» </w:t>
      </w:r>
      <w:r w:rsidR="00DC7A4A" w:rsidRPr="0020238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7A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Смоленскэнерго</w:t>
      </w:r>
      <w:r w:rsidR="00DC7A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оборудования и содержание сооружений на </w:t>
      </w: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6342,0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АО «ГАЗПРОМ ГАЗОРАСПРЕДЕЛЕНИЕ СМОЛЕНСК» – работы по социальной 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8196,0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тыс. рулей; 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ТОСП ООО «Агроторг» – на сумму </w:t>
      </w:r>
      <w:r w:rsidRPr="00202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4655,0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202382" w:rsidRPr="00202382" w:rsidRDefault="00202382" w:rsidP="00D239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МБОУ 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Сычевская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школа – приобретение оборудования на сумму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3267,0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202382" w:rsidRPr="00202382" w:rsidRDefault="00202382" w:rsidP="00D239D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В 2023 году осуществлена реализация инвестиционных проектов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382" w:rsidRPr="00202382" w:rsidRDefault="00202382" w:rsidP="00D239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Петракович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И.Ю.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разведение животноводства и выращивание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сельскохозяйственных культур;</w:t>
      </w:r>
    </w:p>
    <w:p w:rsidR="00202382" w:rsidRPr="00202382" w:rsidRDefault="00202382" w:rsidP="00D239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Молагророст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разведение животноводства, молокопроизводство;</w:t>
      </w:r>
    </w:p>
    <w:p w:rsidR="00202382" w:rsidRPr="00202382" w:rsidRDefault="00202382" w:rsidP="00D239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</w:rPr>
        <w:t>Зятькова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швейное производство.</w:t>
      </w:r>
    </w:p>
    <w:p w:rsidR="00202382" w:rsidRPr="00202382" w:rsidRDefault="00202382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82" w:rsidRPr="00202382" w:rsidRDefault="00202382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На период 2025-2027 годы планируется:</w:t>
      </w:r>
    </w:p>
    <w:p w:rsidR="00202382" w:rsidRPr="00202382" w:rsidRDefault="00202382" w:rsidP="00D239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 реализация проекта «Реконструкция централизованной системы водоснабжения в п. Монастырщина Смоленской области со строительством станций водоподготовки и водопроводных сетей»;</w:t>
      </w:r>
    </w:p>
    <w:p w:rsidR="00202382" w:rsidRPr="00202382" w:rsidRDefault="00202382" w:rsidP="00D239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капитальный ремонт водопроводных сетей в сельских 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населенных пунктах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с участием областного бюджета;</w:t>
      </w:r>
    </w:p>
    <w:p w:rsidR="00202382" w:rsidRPr="00202382" w:rsidRDefault="00202382" w:rsidP="00D239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Региональной программы капитального ремонта общего имущества в многоквартирных домах;</w:t>
      </w:r>
    </w:p>
    <w:p w:rsidR="00202382" w:rsidRPr="00202382" w:rsidRDefault="00202382" w:rsidP="00D239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- ремонт улично-дорожной сети в п. Монастырщина и сельских </w:t>
      </w:r>
      <w:r w:rsidR="00112E19">
        <w:rPr>
          <w:rFonts w:ascii="Times New Roman" w:eastAsia="Times New Roman" w:hAnsi="Times New Roman" w:cs="Times New Roman"/>
          <w:sz w:val="28"/>
          <w:szCs w:val="28"/>
        </w:rPr>
        <w:t>населенных пунктах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BE3D87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D87" w:rsidRPr="00202382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="00BE3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Смоленской области</w:t>
      </w:r>
      <w:r w:rsidR="00BE3D87" w:rsidRPr="002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планируется строительство новых животноводческих ферм, которые будут сданы в эксплуатацию в период 2025-2026 годы.</w:t>
      </w:r>
    </w:p>
    <w:p w:rsidR="00202382" w:rsidRPr="00202382" w:rsidRDefault="00202382" w:rsidP="00D239D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89" w:rsidRPr="00202382" w:rsidRDefault="00481289" w:rsidP="00984D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7. Консолидированный бюджет</w:t>
      </w:r>
    </w:p>
    <w:p w:rsidR="00481289" w:rsidRPr="00202382" w:rsidRDefault="00481289" w:rsidP="00984D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289" w:rsidRPr="00F7521C" w:rsidRDefault="00481289" w:rsidP="00481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sz w:val="28"/>
          <w:szCs w:val="28"/>
        </w:rPr>
        <w:t>Доходы бюджета муниципального образования 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385,6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том числе собственные доходы бюджета муниципального образования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76,4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из них налоговые доходы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безвозмездные поступления в бюджет муниципального образования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309,2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481289" w:rsidRPr="00F7521C" w:rsidRDefault="00481289" w:rsidP="00481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sz w:val="28"/>
          <w:szCs w:val="28"/>
        </w:rPr>
        <w:t>Доходы бюджета муниципального образования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488,8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том числе собственные доходы бюджета муниципального образования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77,8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из них налоговые доходы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69,9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безвозмездные поступления в бюджет муниципального образования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411,0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481289" w:rsidRPr="00F7521C" w:rsidRDefault="00481289" w:rsidP="00481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sz w:val="28"/>
          <w:szCs w:val="28"/>
        </w:rPr>
        <w:t>Поступление доходов в консолидированный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муниципального  образования «Монастырщинский район» Смоленской области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оценивается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630,7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рублей, что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141,9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млн. рублей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29,0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больше, чем поступления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488,8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млн. рублей).</w:t>
      </w:r>
    </w:p>
    <w:p w:rsidR="00D239DE" w:rsidRDefault="00D239DE" w:rsidP="00D23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9DE" w:rsidRDefault="00D239DE" w:rsidP="00D23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514BAB1" wp14:editId="574AD2F8">
            <wp:simplePos x="0" y="0"/>
            <wp:positionH relativeFrom="column">
              <wp:posOffset>200660</wp:posOffset>
            </wp:positionH>
            <wp:positionV relativeFrom="paragraph">
              <wp:posOffset>133985</wp:posOffset>
            </wp:positionV>
            <wp:extent cx="6233795" cy="261556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:rsidR="00481289" w:rsidRPr="00F7521C" w:rsidRDefault="00481289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налоговых и неналоговых доходов в консолидированный бюджет муниципального образования «Монастырщинский район» Смоленской области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оценивается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что меньше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0,6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процента, чем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77,8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рублей). </w:t>
      </w:r>
    </w:p>
    <w:p w:rsidR="00481289" w:rsidRPr="00F7521C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по крупным доходным источникам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характеризуются следующим образом.</w:t>
      </w:r>
    </w:p>
    <w:p w:rsidR="00481289" w:rsidRPr="00F7521C" w:rsidRDefault="00481289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налога на доходы физических лиц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ожидается 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29,3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аналогичному периоду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1,1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3, 9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процента. </w:t>
      </w:r>
    </w:p>
    <w:p w:rsidR="00481289" w:rsidRPr="00F7521C" w:rsidRDefault="00481289" w:rsidP="00D239D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21C">
        <w:rPr>
          <w:rFonts w:ascii="Times New Roman" w:eastAsia="Courier New" w:hAnsi="Times New Roman" w:cs="Times New Roman"/>
          <w:bCs/>
          <w:i/>
          <w:color w:val="000000"/>
          <w:sz w:val="28"/>
          <w:szCs w:val="24"/>
        </w:rPr>
        <w:tab/>
      </w:r>
      <w:r w:rsidRPr="00F7521C">
        <w:rPr>
          <w:rFonts w:ascii="Times New Roman" w:eastAsia="Courier New" w:hAnsi="Times New Roman" w:cs="Times New Roman"/>
          <w:bCs/>
          <w:color w:val="000000"/>
          <w:sz w:val="28"/>
          <w:szCs w:val="24"/>
        </w:rPr>
        <w:t>Поступление а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кцизов по подакцизным товарам (продукции), производимым на территории Российской Федерации, ожидается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34,0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аналогичному периоду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0,2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0,6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процента.</w:t>
      </w:r>
    </w:p>
    <w:p w:rsidR="00481289" w:rsidRPr="00F7521C" w:rsidRDefault="00481289" w:rsidP="00D239D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Поступление земельного налога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ожидается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3,8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 с увеличением к аналогичному периоду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15,2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процента.</w:t>
      </w:r>
    </w:p>
    <w:p w:rsidR="00481289" w:rsidRPr="00F7521C" w:rsidRDefault="00481289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sz w:val="28"/>
          <w:szCs w:val="28"/>
        </w:rPr>
        <w:t>Основная часть налоговых поступлений обеспечена поступлением налога на доходы физических лиц, а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кцизов по подакцизным товарам (продукции), производимым на территории Российской Федерации, 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>неналоговых поступлений - доходы от использования имущества, находящегося в государственной и муниципальной собственности.</w:t>
      </w:r>
    </w:p>
    <w:p w:rsidR="00481289" w:rsidRPr="00F7521C" w:rsidRDefault="00481289" w:rsidP="00D239D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прогнозном периоде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предполагается ежегодный рост налоговых и неналоговых доходов </w:t>
      </w:r>
      <w:proofErr w:type="gramStart"/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</w:t>
      </w:r>
      <w:proofErr w:type="gramEnd"/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муниципального </w:t>
      </w:r>
      <w:r w:rsidR="00112E1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На 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рост относительно оценки за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запланирован в размере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15,1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процента,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 в размере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2,2</w:t>
      </w:r>
      <w:r w:rsidRPr="00F75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процента соответственно к каждому году. </w:t>
      </w:r>
      <w:r w:rsidRPr="00F7521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макроэкономических показателей </w:t>
      </w:r>
      <w:r w:rsidRPr="00F752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планируется за счет прогнозируемых 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показателей прогноза социально-экономического развития муниципального образования «Монастырщинский </w:t>
      </w:r>
      <w:r w:rsidR="00112E1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округ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Смоленской области, </w:t>
      </w:r>
      <w:r w:rsidRPr="00F7521C">
        <w:rPr>
          <w:rFonts w:ascii="Times New Roman" w:eastAsia="Times New Roman" w:hAnsi="Times New Roman" w:cs="Times New Roman"/>
          <w:bCs/>
          <w:sz w:val="28"/>
          <w:szCs w:val="28"/>
        </w:rPr>
        <w:t>индексации ставок акцизов на отдельные виды подакцизных товаров и поэтапного повышения нормативов отчислений акцизов на нефтепродукты</w:t>
      </w:r>
      <w:r w:rsidRPr="00F75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289" w:rsidRPr="00F7521C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521C">
        <w:rPr>
          <w:rFonts w:ascii="Times New Roman" w:eastAsia="Times New Roman" w:hAnsi="Times New Roman" w:cs="Times New Roman"/>
          <w:sz w:val="28"/>
          <w:szCs w:val="24"/>
        </w:rPr>
        <w:t>Большая часть налоговых поступлений, как и в предыдущие годы на 202</w:t>
      </w:r>
      <w:r>
        <w:rPr>
          <w:rFonts w:ascii="Times New Roman" w:eastAsia="Times New Roman" w:hAnsi="Times New Roman" w:cs="Times New Roman"/>
          <w:sz w:val="28"/>
          <w:szCs w:val="24"/>
        </w:rPr>
        <w:t>5 -</w:t>
      </w:r>
      <w:r w:rsidRPr="00F7521C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F7521C">
        <w:rPr>
          <w:rFonts w:ascii="Times New Roman" w:eastAsia="Times New Roman" w:hAnsi="Times New Roman" w:cs="Times New Roman"/>
          <w:sz w:val="28"/>
          <w:szCs w:val="24"/>
        </w:rPr>
        <w:t xml:space="preserve">  годы, будет обеспечиваться поступлениями налога на доходы физических лиц, акцизов </w:t>
      </w:r>
      <w:r w:rsidRPr="00F7521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подакцизным товарам (продукции), производимым на территории Российской Федерации,</w:t>
      </w:r>
      <w:r w:rsidRPr="00F7521C">
        <w:rPr>
          <w:rFonts w:ascii="Times New Roman" w:eastAsia="Times New Roman" w:hAnsi="Times New Roman" w:cs="Times New Roman"/>
          <w:sz w:val="28"/>
          <w:szCs w:val="24"/>
        </w:rPr>
        <w:t xml:space="preserve"> единого сельскохозяйственного налога, налога, взимаемого в связи с применением упрощенной системы налогообложения.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Объем безвозмездных поступлений в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оценивается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528,8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 по сравнению с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годом 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114,7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на 27,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процентов. 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Сумма субсидий, получаемых из областного бюджета, составит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81,2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 увеличится по сравнению с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годом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55,9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44,6 процентов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Сумма субвенций, получаемых из областного бюджета, составит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57,7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 увеличится по сравнению с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годом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23,4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7,4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процентов. 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консолидированного бюджета муниципального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«Монастырщинский район» Смоленской области 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2024 году по сравнению с 2023 годом 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162,7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33,8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консолидированного бюджета муниципального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«Монастырщинский район»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2024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по сравнению с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годом на общегосударственные вопросы увеличатся на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2,1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процентов.</w:t>
      </w:r>
    </w:p>
    <w:p w:rsidR="00481289" w:rsidRPr="00202382" w:rsidRDefault="00481289" w:rsidP="00D239DE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289" w:rsidRPr="00202382" w:rsidRDefault="00481289" w:rsidP="00D239DE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8"/>
        </w:rPr>
        <w:t>консолидированного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бюджета, млн. рублей</w:t>
      </w:r>
    </w:p>
    <w:p w:rsidR="00481289" w:rsidRPr="00202382" w:rsidRDefault="00481289" w:rsidP="00D239DE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CCDF25" wp14:editId="7A99473C">
            <wp:simplePos x="0" y="0"/>
            <wp:positionH relativeFrom="column">
              <wp:posOffset>116205</wp:posOffset>
            </wp:positionH>
            <wp:positionV relativeFrom="paragraph">
              <wp:posOffset>60960</wp:posOffset>
            </wp:positionV>
            <wp:extent cx="6452235" cy="2828925"/>
            <wp:effectExtent l="0" t="0" r="5715" b="0"/>
            <wp:wrapSquare wrapText="bothSides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Объем расходов по разделу «Национальная экономика» в 2024 году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величатся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51,9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47,6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консолидированного бюджета на жилищно-коммунальное хозяйство в 2024 году 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27,1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59,2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процентов.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расходов консолидированного бюджета муниципального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«Монастырщинский район» Смоленской области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социально-культурную сферу в 2024 году по сравнению с 2023 годом увеличится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61,7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24,1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1289" w:rsidRPr="00202382" w:rsidRDefault="00481289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Дефицит консолидированного бюджета муниципального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«Монастырщинский район» Смоленской области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2024 году оценивается в </w:t>
      </w:r>
      <w:r w:rsidRPr="00E73094">
        <w:rPr>
          <w:rFonts w:ascii="Times New Roman" w:eastAsia="Times New Roman" w:hAnsi="Times New Roman" w:cs="Times New Roman"/>
          <w:bCs/>
          <w:sz w:val="28"/>
          <w:szCs w:val="28"/>
        </w:rPr>
        <w:t>сумме 37,3 млн</w:t>
      </w:r>
      <w:r w:rsidRPr="00202382">
        <w:rPr>
          <w:rFonts w:ascii="Times New Roman" w:eastAsia="Times New Roman" w:hAnsi="Times New Roman" w:cs="Times New Roman"/>
          <w:bCs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382" w:rsidRDefault="00202382" w:rsidP="00D239D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b/>
          <w:sz w:val="28"/>
          <w:szCs w:val="28"/>
        </w:rPr>
        <w:t>10. Труд и занятость</w:t>
      </w:r>
    </w:p>
    <w:p w:rsidR="00984DBB" w:rsidRPr="00202382" w:rsidRDefault="00984DBB" w:rsidP="00D239D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Среднемесячная начисленная заработная плата работников организаций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 субъектов малого предпринимательства) </w:t>
      </w: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в 2023 году увеличилась и сложилась на уровне </w:t>
      </w:r>
      <w:r w:rsidRPr="0020238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35860,3</w:t>
      </w: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 рублей.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Вместе с этим фонд заработной платы работников увеличился до 503,2 млн. рублей, среднесписочная численность работников </w:t>
      </w:r>
      <w:r w:rsidRPr="00202382">
        <w:rPr>
          <w:rFonts w:ascii="Times New Roman" w:eastAsia="Times New Roman" w:hAnsi="Times New Roman" w:cs="Times New Roman"/>
          <w:color w:val="000000"/>
          <w:sz w:val="28"/>
          <w:szCs w:val="28"/>
        </w:rPr>
        <w:t>(без субъектов малого предпринимательства) в 2023 году составила 1169 чел</w:t>
      </w:r>
      <w:r w:rsidRPr="00202382">
        <w:rPr>
          <w:rFonts w:ascii="Times New Roman" w:eastAsia="Times New Roman" w:hAnsi="Times New Roman" w:cs="Times New Roman"/>
          <w:sz w:val="28"/>
          <w:szCs w:val="20"/>
        </w:rPr>
        <w:t>. 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рабочих мест при реализации новых инвестиционных проектов, что в результате будет способствовать снижению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 уровня безработицы. Так, среднемесячная заработная плата работников составит к 2027 году 42732,0 рублей, фонд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0"/>
        </w:rPr>
        <w:t>заработной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 платы увеличится до уровня 556,6 млн. рублей.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2382">
        <w:rPr>
          <w:rFonts w:ascii="Times New Roman" w:eastAsia="Times New Roman" w:hAnsi="Times New Roman" w:cs="Times New Roman"/>
          <w:sz w:val="28"/>
          <w:szCs w:val="24"/>
        </w:rPr>
        <w:t xml:space="preserve">Показатели, характеризующие ситуацию на </w:t>
      </w:r>
      <w:proofErr w:type="gramStart"/>
      <w:r w:rsidRPr="00202382">
        <w:rPr>
          <w:rFonts w:ascii="Times New Roman" w:eastAsia="Times New Roman" w:hAnsi="Times New Roman" w:cs="Times New Roman"/>
          <w:sz w:val="28"/>
          <w:szCs w:val="24"/>
        </w:rPr>
        <w:t>рынке</w:t>
      </w:r>
      <w:proofErr w:type="gramEnd"/>
      <w:r w:rsidRPr="00202382">
        <w:rPr>
          <w:rFonts w:ascii="Times New Roman" w:eastAsia="Times New Roman" w:hAnsi="Times New Roman" w:cs="Times New Roman"/>
          <w:sz w:val="28"/>
          <w:szCs w:val="24"/>
        </w:rPr>
        <w:t xml:space="preserve"> труда, в прогнозе строятся на основе данных текущего статистического учета и с учетом сложившихся тенденций за прошлые годы.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На 01.01.2024 на регистрационном учете в центре занятости состояло 45 человек, (на 01.01.2023– 66 чел.). 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На рынке труда предложение рабочей силы значительно превышает спрос.</w:t>
      </w:r>
    </w:p>
    <w:p w:rsidR="00202382" w:rsidRPr="00202382" w:rsidRDefault="00202382" w:rsidP="00D239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Численность безработных, зарегистрированных в службе занятости, по оценке в 2024 году составит 0,055 тыс. человек, к 2027 году 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 0,051 тыс. человек.</w:t>
      </w:r>
      <w:r w:rsidRPr="00202382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202382">
        <w:rPr>
          <w:rFonts w:ascii="Times New Roman" w:eastAsia="Times New Roman" w:hAnsi="Times New Roman" w:cs="Times New Roman"/>
          <w:sz w:val="28"/>
          <w:szCs w:val="20"/>
        </w:rPr>
        <w:t xml:space="preserve">Уровень регистрируемой безработицы, в среднем по району, в 2024 году по оценке составит 1,15 %. В прогнозном периоде данный показатель будет снижаться и к 2027 году сложится на уровне 1,06 % экономически активного населения. </w:t>
      </w:r>
    </w:p>
    <w:p w:rsidR="00202382" w:rsidRPr="00202382" w:rsidRDefault="00202382" w:rsidP="00D239DE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382">
        <w:rPr>
          <w:rFonts w:ascii="Times New Roman" w:eastAsia="Times New Roman" w:hAnsi="Times New Roman" w:cs="Times New Roman"/>
          <w:sz w:val="28"/>
          <w:szCs w:val="28"/>
        </w:rPr>
        <w:t>С 01.01.2023 по 31.12.202</w:t>
      </w:r>
      <w:r w:rsidR="008C12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2382">
        <w:rPr>
          <w:rFonts w:ascii="Times New Roman" w:eastAsia="Times New Roman" w:hAnsi="Times New Roman" w:cs="Times New Roman"/>
          <w:sz w:val="28"/>
          <w:szCs w:val="28"/>
        </w:rPr>
        <w:t xml:space="preserve"> года оказано содействие в поиске подходящей работы 109 гражданам:</w:t>
      </w:r>
      <w:r w:rsidRPr="002023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них 6 граждан </w:t>
      </w:r>
      <w:proofErr w:type="spellStart"/>
      <w:r w:rsidRPr="0020238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предпенсионного</w:t>
      </w:r>
      <w:proofErr w:type="spellEnd"/>
      <w:r w:rsidRPr="002023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возраста; 29 несовершеннолетних граждан от 14 до 18 лет в свободное от учебы время; 82 </w:t>
      </w:r>
      <w:r w:rsidRPr="0020238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гражданина трудоустроено на постоянную работу, из них 44 человека по направлению центра занятости.</w:t>
      </w:r>
    </w:p>
    <w:p w:rsidR="001B49DD" w:rsidRDefault="001B49DD" w:rsidP="0020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B49DD" w:rsidSect="009F3D87">
      <w:headerReference w:type="default" r:id="rId17"/>
      <w:footerReference w:type="default" r:id="rId18"/>
      <w:pgSz w:w="11906" w:h="16838"/>
      <w:pgMar w:top="851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D" w:rsidRDefault="007157DD" w:rsidP="005546DA">
      <w:pPr>
        <w:spacing w:after="0" w:line="240" w:lineRule="auto"/>
      </w:pPr>
      <w:r>
        <w:separator/>
      </w:r>
    </w:p>
  </w:endnote>
  <w:endnote w:type="continuationSeparator" w:id="0">
    <w:p w:rsidR="007157DD" w:rsidRDefault="007157DD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2" w:rsidRDefault="00581E42">
    <w:pPr>
      <w:pStyle w:val="aa"/>
      <w:jc w:val="center"/>
    </w:pPr>
  </w:p>
  <w:p w:rsidR="00581E42" w:rsidRDefault="00581E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D" w:rsidRDefault="007157DD" w:rsidP="005546DA">
      <w:pPr>
        <w:spacing w:after="0" w:line="240" w:lineRule="auto"/>
      </w:pPr>
      <w:r>
        <w:separator/>
      </w:r>
    </w:p>
  </w:footnote>
  <w:footnote w:type="continuationSeparator" w:id="0">
    <w:p w:rsidR="007157DD" w:rsidRDefault="007157DD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437139"/>
      <w:docPartObj>
        <w:docPartGallery w:val="Page Numbers (Top of Page)"/>
        <w:docPartUnique/>
      </w:docPartObj>
    </w:sdtPr>
    <w:sdtEndPr/>
    <w:sdtContent>
      <w:p w:rsidR="009F3D87" w:rsidRDefault="009F3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FF">
          <w:rPr>
            <w:noProof/>
          </w:rPr>
          <w:t>2</w:t>
        </w:r>
        <w:r>
          <w:fldChar w:fldCharType="end"/>
        </w:r>
      </w:p>
    </w:sdtContent>
  </w:sdt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7BA"/>
    <w:multiLevelType w:val="hybridMultilevel"/>
    <w:tmpl w:val="B5C00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45BDF"/>
    <w:rsid w:val="00056AF3"/>
    <w:rsid w:val="00065F78"/>
    <w:rsid w:val="00066CEE"/>
    <w:rsid w:val="000702F0"/>
    <w:rsid w:val="000754F6"/>
    <w:rsid w:val="0009076E"/>
    <w:rsid w:val="000A7B35"/>
    <w:rsid w:val="000C314A"/>
    <w:rsid w:val="000C4700"/>
    <w:rsid w:val="000E4C2B"/>
    <w:rsid w:val="00112E19"/>
    <w:rsid w:val="001142A0"/>
    <w:rsid w:val="001563F8"/>
    <w:rsid w:val="001B49DD"/>
    <w:rsid w:val="001B561A"/>
    <w:rsid w:val="001C7216"/>
    <w:rsid w:val="00202382"/>
    <w:rsid w:val="00204E2C"/>
    <w:rsid w:val="00214DD8"/>
    <w:rsid w:val="002409E2"/>
    <w:rsid w:val="00261BCA"/>
    <w:rsid w:val="002952E7"/>
    <w:rsid w:val="002A05FD"/>
    <w:rsid w:val="002A1998"/>
    <w:rsid w:val="002B2F5F"/>
    <w:rsid w:val="002B426E"/>
    <w:rsid w:val="002F4A12"/>
    <w:rsid w:val="00351299"/>
    <w:rsid w:val="00367738"/>
    <w:rsid w:val="00385DC7"/>
    <w:rsid w:val="00390D96"/>
    <w:rsid w:val="00397D44"/>
    <w:rsid w:val="003A4897"/>
    <w:rsid w:val="003B1C8E"/>
    <w:rsid w:val="003D52B8"/>
    <w:rsid w:val="003D7CEA"/>
    <w:rsid w:val="003E5D4E"/>
    <w:rsid w:val="003F7C95"/>
    <w:rsid w:val="00401EBD"/>
    <w:rsid w:val="00403504"/>
    <w:rsid w:val="00414329"/>
    <w:rsid w:val="00433C24"/>
    <w:rsid w:val="004508A4"/>
    <w:rsid w:val="0046379D"/>
    <w:rsid w:val="00480783"/>
    <w:rsid w:val="00481289"/>
    <w:rsid w:val="00493D0A"/>
    <w:rsid w:val="004A4A78"/>
    <w:rsid w:val="004A650C"/>
    <w:rsid w:val="005021A1"/>
    <w:rsid w:val="00513C49"/>
    <w:rsid w:val="00542F9D"/>
    <w:rsid w:val="005546DA"/>
    <w:rsid w:val="00557D59"/>
    <w:rsid w:val="00571126"/>
    <w:rsid w:val="00574B22"/>
    <w:rsid w:val="0057610B"/>
    <w:rsid w:val="00581E42"/>
    <w:rsid w:val="005A3F94"/>
    <w:rsid w:val="005B58BC"/>
    <w:rsid w:val="005B6A9B"/>
    <w:rsid w:val="005D1B2E"/>
    <w:rsid w:val="005D5A28"/>
    <w:rsid w:val="005E0DF8"/>
    <w:rsid w:val="005F52F5"/>
    <w:rsid w:val="00615874"/>
    <w:rsid w:val="00673DE8"/>
    <w:rsid w:val="006813BF"/>
    <w:rsid w:val="00685D3D"/>
    <w:rsid w:val="00687F8A"/>
    <w:rsid w:val="006B2251"/>
    <w:rsid w:val="006C1B67"/>
    <w:rsid w:val="006C62C5"/>
    <w:rsid w:val="006D2DF0"/>
    <w:rsid w:val="006E0958"/>
    <w:rsid w:val="007142C9"/>
    <w:rsid w:val="007157DD"/>
    <w:rsid w:val="00720BFF"/>
    <w:rsid w:val="00733E5F"/>
    <w:rsid w:val="00740186"/>
    <w:rsid w:val="00786190"/>
    <w:rsid w:val="007A49C6"/>
    <w:rsid w:val="007B3D6B"/>
    <w:rsid w:val="007C5340"/>
    <w:rsid w:val="007D24C0"/>
    <w:rsid w:val="008136BC"/>
    <w:rsid w:val="008160F4"/>
    <w:rsid w:val="00845459"/>
    <w:rsid w:val="008471AA"/>
    <w:rsid w:val="00895726"/>
    <w:rsid w:val="00895F4A"/>
    <w:rsid w:val="008C08C4"/>
    <w:rsid w:val="008C1261"/>
    <w:rsid w:val="008D7311"/>
    <w:rsid w:val="0091052E"/>
    <w:rsid w:val="0093514F"/>
    <w:rsid w:val="00965EE3"/>
    <w:rsid w:val="00984DBB"/>
    <w:rsid w:val="0098645E"/>
    <w:rsid w:val="009951C6"/>
    <w:rsid w:val="009D05CF"/>
    <w:rsid w:val="009D3852"/>
    <w:rsid w:val="009F3D87"/>
    <w:rsid w:val="00A06BA5"/>
    <w:rsid w:val="00A138C7"/>
    <w:rsid w:val="00A14E18"/>
    <w:rsid w:val="00A34DAC"/>
    <w:rsid w:val="00A618E9"/>
    <w:rsid w:val="00A7480A"/>
    <w:rsid w:val="00A8688D"/>
    <w:rsid w:val="00AA077F"/>
    <w:rsid w:val="00AA0FD6"/>
    <w:rsid w:val="00AA3EAB"/>
    <w:rsid w:val="00AC423A"/>
    <w:rsid w:val="00AE6251"/>
    <w:rsid w:val="00AF0DC3"/>
    <w:rsid w:val="00B14E32"/>
    <w:rsid w:val="00B26E34"/>
    <w:rsid w:val="00B54ACF"/>
    <w:rsid w:val="00B729D6"/>
    <w:rsid w:val="00B730E5"/>
    <w:rsid w:val="00B806C2"/>
    <w:rsid w:val="00BA5AEA"/>
    <w:rsid w:val="00BC2C63"/>
    <w:rsid w:val="00BC306B"/>
    <w:rsid w:val="00BE3D87"/>
    <w:rsid w:val="00C04844"/>
    <w:rsid w:val="00C075D8"/>
    <w:rsid w:val="00C611FF"/>
    <w:rsid w:val="00CB12C9"/>
    <w:rsid w:val="00CE79F7"/>
    <w:rsid w:val="00CF5469"/>
    <w:rsid w:val="00D0132E"/>
    <w:rsid w:val="00D11D8C"/>
    <w:rsid w:val="00D239DE"/>
    <w:rsid w:val="00D32333"/>
    <w:rsid w:val="00D516BA"/>
    <w:rsid w:val="00D64985"/>
    <w:rsid w:val="00D76C4D"/>
    <w:rsid w:val="00DC7A4A"/>
    <w:rsid w:val="00E01C25"/>
    <w:rsid w:val="00E06CF7"/>
    <w:rsid w:val="00E1123F"/>
    <w:rsid w:val="00E83D32"/>
    <w:rsid w:val="00EC5617"/>
    <w:rsid w:val="00ED7ED6"/>
    <w:rsid w:val="00EE1FDB"/>
    <w:rsid w:val="00EE2717"/>
    <w:rsid w:val="00EF30CB"/>
    <w:rsid w:val="00F24FD8"/>
    <w:rsid w:val="00F45ED5"/>
    <w:rsid w:val="00F65C59"/>
    <w:rsid w:val="00F7036B"/>
    <w:rsid w:val="00FB3609"/>
    <w:rsid w:val="00FB761F"/>
    <w:rsid w:val="00FD01CC"/>
    <w:rsid w:val="00FD4949"/>
    <w:rsid w:val="00FD4DAF"/>
    <w:rsid w:val="00FD5FA1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974012993503245E-2"/>
          <c:y val="8.3333333333333329E-2"/>
          <c:w val="0.71734400516277297"/>
          <c:h val="0.7738024934383200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709E-2"/>
                  <c:y val="0.115941458404656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598255990115185E-2"/>
                  <c:y val="5.9782234251968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219500485977608E-2"/>
                  <c:y val="5.5706610892388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40744981839844E-2"/>
                  <c:y val="6.295275590551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03004403310158E-2"/>
                  <c:y val="6.1820456036745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988005997001478E-2"/>
                  <c:y val="6.295275590551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89005497251416E-2"/>
                  <c:y val="6.2500000000000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1989005497251416E-2"/>
                  <c:y val="9.3750000000000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Лист1!$B$2:$B$8</c:f>
              <c:numCache>
                <c:formatCode>0.00</c:formatCode>
                <c:ptCount val="7"/>
                <c:pt idx="0">
                  <c:v>5.8</c:v>
                </c:pt>
                <c:pt idx="1">
                  <c:v>5.4</c:v>
                </c:pt>
                <c:pt idx="2">
                  <c:v>4.5999999999999996</c:v>
                </c:pt>
                <c:pt idx="3">
                  <c:v>5</c:v>
                </c:pt>
                <c:pt idx="4">
                  <c:v>5.5</c:v>
                </c:pt>
                <c:pt idx="5">
                  <c:v>5.9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094E-3"/>
                  <c:y val="-6.521739130434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704433497537546E-2"/>
                  <c:y val="-7.971014492753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893814997264033E-2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704433497537546E-2"/>
                  <c:y val="-7.971014492753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8.3333333333333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Лист1!$C$2:$C$8</c:f>
              <c:numCache>
                <c:formatCode>0.00</c:formatCode>
                <c:ptCount val="7"/>
                <c:pt idx="0">
                  <c:v>26.4</c:v>
                </c:pt>
                <c:pt idx="1">
                  <c:v>23.34</c:v>
                </c:pt>
                <c:pt idx="2">
                  <c:v>22.4</c:v>
                </c:pt>
                <c:pt idx="3">
                  <c:v>22</c:v>
                </c:pt>
                <c:pt idx="4">
                  <c:v>21.5</c:v>
                </c:pt>
                <c:pt idx="5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61472"/>
        <c:axId val="83563264"/>
      </c:lineChart>
      <c:catAx>
        <c:axId val="8356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63264"/>
        <c:crosses val="autoZero"/>
        <c:auto val="1"/>
        <c:lblAlgn val="ctr"/>
        <c:lblOffset val="100"/>
        <c:noMultiLvlLbl val="0"/>
      </c:catAx>
      <c:valAx>
        <c:axId val="83563264"/>
        <c:scaling>
          <c:orientation val="minMax"/>
        </c:scaling>
        <c:delete val="1"/>
        <c:axPos val="l"/>
        <c:majorGridlines/>
        <c:numFmt formatCode="0.00" sourceLinked="1"/>
        <c:majorTickMark val="out"/>
        <c:minorTickMark val="none"/>
        <c:tickLblPos val="none"/>
        <c:crossAx val="8356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1233278976"/>
          <c:y val="0.30065985892388453"/>
          <c:w val="0.26666668766721024"/>
          <c:h val="0.3362095626260867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естественной убыли населения,человек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128735632183994"/>
          <c:y val="2.38094990601422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320464092819"/>
          <c:y val="0.39830508474576271"/>
          <c:w val="0.75396083377618228"/>
          <c:h val="0.4417418757507006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5.4008148000910999E-2"/>
                  <c:y val="-0.11956633742069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008148000911006E-2"/>
                  <c:y val="-0.11348451783374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00396154254449E-2"/>
                  <c:y val="-0.11788729336257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005680857048988E-2"/>
                  <c:y val="-0.12324965407092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004866875979083E-2"/>
                  <c:y val="-0.12420877923836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7995587365778962E-2"/>
                  <c:y val="-0.11788683335050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006940889664928E-2"/>
                  <c:y val="-0.11684306596205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007846223099487E-2"/>
                  <c:y val="-0.10515875936584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005733778418857E-2"/>
                  <c:y val="-0.10515875936584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146</c:v>
                </c:pt>
                <c:pt idx="1">
                  <c:v>138</c:v>
                </c:pt>
                <c:pt idx="2">
                  <c:v>125</c:v>
                </c:pt>
                <c:pt idx="3">
                  <c:v>125</c:v>
                </c:pt>
                <c:pt idx="4">
                  <c:v>125</c:v>
                </c:pt>
                <c:pt idx="5">
                  <c:v>125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986048"/>
        <c:axId val="117987584"/>
      </c:lineChart>
      <c:catAx>
        <c:axId val="11798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987584"/>
        <c:crosses val="autoZero"/>
        <c:auto val="1"/>
        <c:lblAlgn val="ctr"/>
        <c:lblOffset val="100"/>
        <c:noMultiLvlLbl val="0"/>
      </c:catAx>
      <c:valAx>
        <c:axId val="1179875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79860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 продукции сельского хозяйства,  млн.рублей</a:t>
            </a:r>
          </a:p>
        </c:rich>
      </c:tx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97092799705768E-2"/>
          <c:y val="0.25841407241313374"/>
          <c:w val="0.8588571810689265"/>
          <c:h val="0.54582788853520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2021               отчет</c:v>
                </c:pt>
                <c:pt idx="1">
                  <c:v>2022    отчет</c:v>
                </c:pt>
                <c:pt idx="2">
                  <c:v>2023   оценка</c:v>
                </c:pt>
                <c:pt idx="3">
                  <c:v>2024 прогноз</c:v>
                </c:pt>
                <c:pt idx="4">
                  <c:v>2025 прогноз</c:v>
                </c:pt>
                <c:pt idx="5">
                  <c:v>2026 прогноз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1180</c:v>
                </c:pt>
                <c:pt idx="1">
                  <c:v>1182.9000000000001</c:v>
                </c:pt>
                <c:pt idx="2">
                  <c:v>1203.2</c:v>
                </c:pt>
                <c:pt idx="3">
                  <c:v>1269.4000000000001</c:v>
                </c:pt>
                <c:pt idx="4">
                  <c:v>1347.2</c:v>
                </c:pt>
                <c:pt idx="5">
                  <c:v>1408.3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033024"/>
        <c:axId val="118055296"/>
        <c:axId val="0"/>
      </c:bar3DChart>
      <c:catAx>
        <c:axId val="1180330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18055296"/>
        <c:crosses val="autoZero"/>
        <c:auto val="1"/>
        <c:lblAlgn val="ctr"/>
        <c:lblOffset val="100"/>
        <c:noMultiLvlLbl val="0"/>
      </c:catAx>
      <c:valAx>
        <c:axId val="118055296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one"/>
        <c:crossAx val="118033024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оборота розничной торговли, млн. рублей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10106279268282954"/>
          <c:w val="0.99335446221124368"/>
          <c:h val="0.6018906070476129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оборота розничной торговли, млн.рублей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97238658777120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101</a:t>
                    </a:r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111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just"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1">
                  <c:v>2022       отчет</c:v>
                </c:pt>
                <c:pt idx="2">
                  <c:v>2023     отчет</c:v>
                </c:pt>
                <c:pt idx="3">
                  <c:v>2024  оценка</c:v>
                </c:pt>
                <c:pt idx="4">
                  <c:v>2025    прогноз</c:v>
                </c:pt>
                <c:pt idx="5">
                  <c:v>2026 прогноз</c:v>
                </c:pt>
                <c:pt idx="6">
                  <c:v>2027 прогноз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1115.0999999999999</c:v>
                </c:pt>
                <c:pt idx="2">
                  <c:v>1268.5999999999999</c:v>
                </c:pt>
                <c:pt idx="3" formatCode="0.00">
                  <c:v>1305.9000000000001</c:v>
                </c:pt>
                <c:pt idx="4">
                  <c:v>1327.5</c:v>
                </c:pt>
                <c:pt idx="5">
                  <c:v>1375.2</c:v>
                </c:pt>
                <c:pt idx="6">
                  <c:v>1474.3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pyramid"/>
        <c:axId val="118099328"/>
        <c:axId val="118118656"/>
        <c:axId val="115587712"/>
      </c:bar3DChart>
      <c:catAx>
        <c:axId val="1180993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118656"/>
        <c:crosses val="autoZero"/>
        <c:auto val="1"/>
        <c:lblAlgn val="ctr"/>
        <c:lblOffset val="100"/>
        <c:noMultiLvlLbl val="0"/>
      </c:catAx>
      <c:valAx>
        <c:axId val="118118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8099328"/>
        <c:crosses val="autoZero"/>
        <c:crossBetween val="between"/>
      </c:valAx>
      <c:serAx>
        <c:axId val="115587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18118656"/>
        <c:crosses val="autoZero"/>
      </c:ser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98313420601605E-2"/>
          <c:y val="2.2676396085520713E-2"/>
          <c:w val="0.79299196787148662"/>
          <c:h val="0.593721221088974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6241715024498666E-7"/>
                  <c:y val="3.9433328745858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096450483121789E-3"/>
                  <c:y val="5.376121799208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44742858609703E-7"/>
                  <c:y val="8.6410042254836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25120348775878E-3"/>
                  <c:y val="5.745880818504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2064300322081187E-3"/>
                  <c:y val="9.8536136591173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681286268374005E-7"/>
                  <c:y val="0.10923656453629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6607385709802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16607385709802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2063489040556658E-3"/>
                  <c:y val="0.17505082234656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2022 отчет</c:v>
                </c:pt>
                <c:pt idx="1">
                  <c:v>2023  отчет</c:v>
                </c:pt>
                <c:pt idx="2">
                  <c:v>2024 оценка</c:v>
                </c:pt>
                <c:pt idx="3">
                  <c:v>2025    прогноз</c:v>
                </c:pt>
                <c:pt idx="4">
                  <c:v>2026 прогноз</c:v>
                </c:pt>
                <c:pt idx="5">
                  <c:v>2027прогноз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412.9</c:v>
                </c:pt>
                <c:pt idx="1">
                  <c:v>118.7</c:v>
                </c:pt>
                <c:pt idx="2">
                  <c:v>145.69999999999999</c:v>
                </c:pt>
                <c:pt idx="3">
                  <c:v>130.6</c:v>
                </c:pt>
                <c:pt idx="4">
                  <c:v>123</c:v>
                </c:pt>
                <c:pt idx="5">
                  <c:v>117.4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8187904"/>
        <c:axId val="1181894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4163872260446942E-2"/>
                  <c:y val="-0.218785074546094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-5.2577539653532644E-2"/>
                  <c:y val="-0.29717606590800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594724161057155E-2"/>
                  <c:y val="-0.19924308430518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470768441011119E-2"/>
                  <c:y val="-9.3327200079371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143628339832914E-2"/>
                  <c:y val="-0.13906648266904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166663492584565E-2"/>
                  <c:y val="-7.6304204612605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373012396640151E-2"/>
                  <c:y val="-7.18157219883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8373012396640151E-2"/>
                  <c:y val="-7.18157219883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2022 отчет</c:v>
                </c:pt>
                <c:pt idx="1">
                  <c:v>2023  отчет</c:v>
                </c:pt>
                <c:pt idx="2">
                  <c:v>2024 оценка</c:v>
                </c:pt>
                <c:pt idx="3">
                  <c:v>2025    прогноз</c:v>
                </c:pt>
                <c:pt idx="4">
                  <c:v>2026 прогноз</c:v>
                </c:pt>
                <c:pt idx="5">
                  <c:v>2027прогноз</c:v>
                </c:pt>
              </c:strCache>
            </c:strRef>
          </c:cat>
          <c:val>
            <c:numRef>
              <c:f>Лист1!$C$2:$C$9</c:f>
              <c:numCache>
                <c:formatCode>0.00</c:formatCode>
                <c:ptCount val="8"/>
                <c:pt idx="0" formatCode="General">
                  <c:v>108.2</c:v>
                </c:pt>
                <c:pt idx="1">
                  <c:v>28.7</c:v>
                </c:pt>
                <c:pt idx="2" formatCode="General">
                  <c:v>122.7</c:v>
                </c:pt>
                <c:pt idx="3" formatCode="General">
                  <c:v>89.6</c:v>
                </c:pt>
                <c:pt idx="4" formatCode="General">
                  <c:v>94.1</c:v>
                </c:pt>
                <c:pt idx="5" formatCode="General">
                  <c:v>95.12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209152"/>
        <c:axId val="118207616"/>
      </c:lineChart>
      <c:catAx>
        <c:axId val="118187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189440"/>
        <c:crosses val="autoZero"/>
        <c:auto val="1"/>
        <c:lblAlgn val="ctr"/>
        <c:lblOffset val="100"/>
        <c:noMultiLvlLbl val="0"/>
      </c:catAx>
      <c:valAx>
        <c:axId val="118189440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187904"/>
        <c:crosses val="autoZero"/>
        <c:crossBetween val="between"/>
      </c:valAx>
      <c:valAx>
        <c:axId val="1182076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18209152"/>
        <c:crosses val="max"/>
        <c:crossBetween val="between"/>
      </c:valAx>
      <c:catAx>
        <c:axId val="118209152"/>
        <c:scaling>
          <c:orientation val="minMax"/>
        </c:scaling>
        <c:delete val="1"/>
        <c:axPos val="b"/>
        <c:majorTickMark val="out"/>
        <c:minorTickMark val="none"/>
        <c:tickLblPos val="none"/>
        <c:crossAx val="11820761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8.6319746309313855E-2"/>
          <c:y val="0.79118253100428038"/>
          <c:w val="0.82525766785112376"/>
          <c:h val="0.17882663383463171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Доходы  консолидированного бюджета, млн. руб.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94074073361469E-2"/>
          <c:y val="0.15119047619047712"/>
          <c:w val="0.91649776595708521"/>
          <c:h val="0.754848143982002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488,8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56234096692107E-3"/>
                  <c:y val="1.19047619047619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606,1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449,7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7.7956505436820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450,5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488.8</c:v>
                </c:pt>
                <c:pt idx="1">
                  <c:v>606.1</c:v>
                </c:pt>
                <c:pt idx="2">
                  <c:v>459.6</c:v>
                </c:pt>
                <c:pt idx="3" formatCode="0.0">
                  <c:v>449.7</c:v>
                </c:pt>
                <c:pt idx="4" formatCode="0.0">
                  <c:v>450.5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15729536"/>
        <c:axId val="115731072"/>
      </c:barChart>
      <c:catAx>
        <c:axId val="1157295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731072"/>
        <c:crosses val="autoZero"/>
        <c:auto val="1"/>
        <c:lblAlgn val="ctr"/>
        <c:lblOffset val="100"/>
        <c:noMultiLvlLbl val="0"/>
      </c:catAx>
      <c:valAx>
        <c:axId val="115731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729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консолидированного бюджета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643,4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459,6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449,7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450,5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480.7</c:v>
                </c:pt>
                <c:pt idx="1">
                  <c:v>643.4</c:v>
                </c:pt>
                <c:pt idx="2">
                  <c:v>459.6</c:v>
                </c:pt>
                <c:pt idx="3">
                  <c:v>449.7</c:v>
                </c:pt>
                <c:pt idx="4">
                  <c:v>450.5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3"/>
        <c:axId val="119677312"/>
        <c:axId val="119645696"/>
      </c:barChart>
      <c:valAx>
        <c:axId val="119645696"/>
        <c:scaling>
          <c:orientation val="minMax"/>
        </c:scaling>
        <c:delete val="0"/>
        <c:axPos val="b"/>
        <c:numFmt formatCode="0.0" sourceLinked="1"/>
        <c:majorTickMark val="none"/>
        <c:minorTickMark val="none"/>
        <c:tickLblPos val="nextTo"/>
        <c:crossAx val="119677312"/>
        <c:crosses val="autoZero"/>
        <c:crossBetween val="between"/>
      </c:valAx>
      <c:catAx>
        <c:axId val="1196773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1964569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F23B-3F57-423B-8B73-74FB213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cp:lastPrinted>2024-11-15T07:28:00Z</cp:lastPrinted>
  <dcterms:created xsi:type="dcterms:W3CDTF">2024-11-15T06:27:00Z</dcterms:created>
  <dcterms:modified xsi:type="dcterms:W3CDTF">2024-11-25T13:48:00Z</dcterms:modified>
</cp:coreProperties>
</file>