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99367206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5E27" w:rsidRPr="00AD5E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22.11.2021</w:t>
      </w:r>
      <w:r w:rsidR="00AD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7C8" w:rsidRPr="00A917F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D5E27" w:rsidRPr="00AD5E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0406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>Программы профилакти</w:t>
      </w:r>
      <w:bookmarkStart w:id="0" w:name="_GoBack"/>
      <w:bookmarkEnd w:id="0"/>
      <w:r w:rsidR="00A917F4" w:rsidRPr="00E205C9">
        <w:rPr>
          <w:rFonts w:ascii="Times New Roman" w:hAnsi="Times New Roman"/>
          <w:bCs/>
          <w:sz w:val="28"/>
          <w:szCs w:val="28"/>
        </w:rPr>
        <w:t>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2022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</w:p>
    <w:p w:rsidR="00E205C9" w:rsidRPr="00A917F4" w:rsidRDefault="00E205C9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2022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2022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земельный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E0D38" w:rsidRPr="00AE0D38" w:rsidRDefault="0054182E" w:rsidP="00962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самовольное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земельных участков, частей земельных участков;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3) неиспользование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4) 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приведение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 в состояние, пригодное для использования по целевому назначению.</w:t>
      </w:r>
    </w:p>
    <w:p w:rsidR="00E81B7F" w:rsidRPr="00C3202B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P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2023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2023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земельном контроле на территории муниципального образования 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(бездействия) должностных лиц, уполномоченных осуществлять муниципальный земельный контроль;</w:t>
            </w:r>
          </w:p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541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ведущий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зем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1939B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предоставления земельных участков, находящихся в государственной или муниципальной собственности,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видов разрешенного использования земельного участка,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получения разрешения на условно разрешенный вид ис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земельного участка;</w:t>
      </w:r>
    </w:p>
    <w:p w:rsidR="00AE0D38" w:rsidRPr="00AE0D38" w:rsidRDefault="005F03F7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B0" w:rsidRDefault="00224DB0" w:rsidP="008D1423">
      <w:pPr>
        <w:spacing w:after="0" w:line="240" w:lineRule="auto"/>
      </w:pPr>
      <w:r>
        <w:separator/>
      </w:r>
    </w:p>
  </w:endnote>
  <w:endnote w:type="continuationSeparator" w:id="0">
    <w:p w:rsidR="00224DB0" w:rsidRDefault="00224DB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1A" w:rsidRPr="0028261A" w:rsidRDefault="0028261A">
    <w:pPr>
      <w:pStyle w:val="af4"/>
      <w:rPr>
        <w:sz w:val="16"/>
      </w:rPr>
    </w:pPr>
    <w:r>
      <w:rPr>
        <w:sz w:val="16"/>
      </w:rPr>
      <w:t>Рег. № 0406 от 22.11.2021, Подписано ЭП: Титов Виктор Борисович, "Глава МО ""Монастырщинский район"" Смоленской области" 22.11.2021 17:19:07,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B0" w:rsidRDefault="00224DB0" w:rsidP="008D1423">
      <w:pPr>
        <w:spacing w:after="0" w:line="240" w:lineRule="auto"/>
      </w:pPr>
      <w:r>
        <w:separator/>
      </w:r>
    </w:p>
  </w:footnote>
  <w:footnote w:type="continuationSeparator" w:id="0">
    <w:p w:rsidR="00224DB0" w:rsidRDefault="00224DB0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4DB0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61A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C11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5E27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4B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1CB87-376E-41D3-94E2-22629420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2017-09-11T07:47:00Z</cp:lastPrinted>
  <dcterms:created xsi:type="dcterms:W3CDTF">2021-11-24T08:33:00Z</dcterms:created>
  <dcterms:modified xsi:type="dcterms:W3CDTF">2021-11-25T14:40:00Z</dcterms:modified>
</cp:coreProperties>
</file>